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56" w:rsidRPr="004C4446" w:rsidRDefault="0001029C" w:rsidP="00E3288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  <w:r w:rsidR="00655E56" w:rsidRPr="004C4446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E32882" w:rsidRPr="004C4446" w:rsidRDefault="00E32882" w:rsidP="00E32882">
      <w:pPr>
        <w:jc w:val="center"/>
        <w:rPr>
          <w:rFonts w:ascii="Times New Roman" w:hAnsi="Times New Roman"/>
          <w:b/>
          <w:sz w:val="24"/>
          <w:szCs w:val="24"/>
        </w:rPr>
      </w:pPr>
      <w:r w:rsidRPr="004C4446">
        <w:rPr>
          <w:rFonts w:ascii="Times New Roman" w:hAnsi="Times New Roman"/>
          <w:b/>
          <w:sz w:val="24"/>
          <w:szCs w:val="24"/>
        </w:rPr>
        <w:t xml:space="preserve">о результатах мониторинга качества финансового менеджмента, осуществляемого главными распорядителями средств бюджета </w:t>
      </w:r>
      <w:r w:rsidR="00655E56" w:rsidRPr="004C4446">
        <w:rPr>
          <w:rFonts w:ascii="Times New Roman" w:hAnsi="Times New Roman"/>
          <w:b/>
          <w:sz w:val="24"/>
          <w:szCs w:val="24"/>
        </w:rPr>
        <w:t>муниципального образования «Можгинский район»</w:t>
      </w:r>
      <w:r w:rsidR="0001029C">
        <w:rPr>
          <w:rFonts w:ascii="Times New Roman" w:hAnsi="Times New Roman"/>
          <w:b/>
          <w:sz w:val="24"/>
          <w:szCs w:val="24"/>
        </w:rPr>
        <w:t xml:space="preserve"> </w:t>
      </w:r>
      <w:r w:rsidRPr="004C4446">
        <w:rPr>
          <w:rFonts w:ascii="Times New Roman" w:hAnsi="Times New Roman"/>
          <w:b/>
          <w:sz w:val="24"/>
          <w:szCs w:val="24"/>
        </w:rPr>
        <w:t xml:space="preserve"> за 201</w:t>
      </w:r>
      <w:r w:rsidR="002338B9" w:rsidRPr="004C4446">
        <w:rPr>
          <w:rFonts w:ascii="Times New Roman" w:hAnsi="Times New Roman"/>
          <w:b/>
          <w:sz w:val="24"/>
          <w:szCs w:val="24"/>
        </w:rPr>
        <w:t>4</w:t>
      </w:r>
      <w:r w:rsidRPr="004C444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32882" w:rsidRPr="004C4446" w:rsidRDefault="00212D71" w:rsidP="00E3288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 xml:space="preserve">В целях повышения эффективности расходов бюджета и качества управления средствами местного бюджета, </w:t>
      </w:r>
      <w:r w:rsidR="00E32882" w:rsidRPr="004C4446">
        <w:rPr>
          <w:rFonts w:ascii="Times New Roman" w:hAnsi="Times New Roman"/>
          <w:sz w:val="24"/>
          <w:szCs w:val="24"/>
        </w:rPr>
        <w:t xml:space="preserve">Управлением финансов </w:t>
      </w:r>
      <w:r w:rsidR="00655E56" w:rsidRPr="004C4446">
        <w:rPr>
          <w:rFonts w:ascii="Times New Roman" w:hAnsi="Times New Roman"/>
          <w:sz w:val="24"/>
          <w:szCs w:val="24"/>
        </w:rPr>
        <w:t>Администрации муниципального образования «Можгинский район»</w:t>
      </w:r>
      <w:r w:rsidR="00E32882" w:rsidRPr="004C4446">
        <w:rPr>
          <w:rFonts w:ascii="Times New Roman" w:hAnsi="Times New Roman"/>
          <w:sz w:val="24"/>
          <w:szCs w:val="24"/>
        </w:rPr>
        <w:t xml:space="preserve"> проведен мониторинг качества финансового менеджмента, осуществляемого главными распорядителями средств бюджета </w:t>
      </w:r>
      <w:r w:rsidR="00655E56" w:rsidRPr="004C4446">
        <w:rPr>
          <w:rFonts w:ascii="Times New Roman" w:hAnsi="Times New Roman"/>
          <w:sz w:val="24"/>
          <w:szCs w:val="24"/>
        </w:rPr>
        <w:t>муниципального образования «Можгинский район»</w:t>
      </w:r>
      <w:r w:rsidR="00E32882" w:rsidRPr="004C4446">
        <w:rPr>
          <w:rFonts w:ascii="Times New Roman" w:hAnsi="Times New Roman"/>
          <w:sz w:val="24"/>
          <w:szCs w:val="24"/>
        </w:rPr>
        <w:t xml:space="preserve"> (далее – главные распорядители) за 201</w:t>
      </w:r>
      <w:r w:rsidR="002338B9" w:rsidRPr="004C4446">
        <w:rPr>
          <w:rFonts w:ascii="Times New Roman" w:hAnsi="Times New Roman"/>
          <w:sz w:val="24"/>
          <w:szCs w:val="24"/>
        </w:rPr>
        <w:t>4</w:t>
      </w:r>
      <w:r w:rsidR="00E32882" w:rsidRPr="004C4446">
        <w:rPr>
          <w:rFonts w:ascii="Times New Roman" w:hAnsi="Times New Roman"/>
          <w:sz w:val="24"/>
          <w:szCs w:val="24"/>
        </w:rPr>
        <w:t xml:space="preserve"> год. </w:t>
      </w:r>
      <w:r w:rsidR="00E32882" w:rsidRPr="004C4446">
        <w:rPr>
          <w:rFonts w:ascii="Times New Roman" w:hAnsi="Times New Roman"/>
          <w:b/>
          <w:sz w:val="24"/>
          <w:szCs w:val="24"/>
        </w:rPr>
        <w:t xml:space="preserve"> </w:t>
      </w:r>
    </w:p>
    <w:p w:rsidR="00E32882" w:rsidRPr="004C4446" w:rsidRDefault="00E32882" w:rsidP="00E32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 xml:space="preserve">Мониторинг качества финансового менеджмента проведен в соответствии с </w:t>
      </w:r>
      <w:r w:rsidR="00655E56" w:rsidRPr="004C4446">
        <w:rPr>
          <w:rFonts w:ascii="Times New Roman" w:hAnsi="Times New Roman"/>
          <w:sz w:val="24"/>
          <w:szCs w:val="24"/>
        </w:rPr>
        <w:t xml:space="preserve">постановлением Администрации Можгинского района от 7 октября 2011 года № 1101 </w:t>
      </w:r>
      <w:r w:rsidRPr="004C4446">
        <w:rPr>
          <w:rFonts w:ascii="Times New Roman" w:hAnsi="Times New Roman"/>
          <w:sz w:val="24"/>
          <w:szCs w:val="24"/>
        </w:rPr>
        <w:t xml:space="preserve">«Об утверждении Положения об организации проведения мониторинга качества финансового менеджмента, осуществляемого главными распорядителями средств бюджета </w:t>
      </w:r>
      <w:r w:rsidR="00655E56" w:rsidRPr="004C4446">
        <w:rPr>
          <w:rFonts w:ascii="Times New Roman" w:hAnsi="Times New Roman"/>
          <w:sz w:val="24"/>
          <w:szCs w:val="24"/>
        </w:rPr>
        <w:t>муниципального образования «Можгинский район»</w:t>
      </w:r>
      <w:r w:rsidRPr="004C444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E32882" w:rsidRPr="004C4446" w:rsidRDefault="00E32882" w:rsidP="00E32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 xml:space="preserve">Годовой мониторинг </w:t>
      </w:r>
      <w:proofErr w:type="gramStart"/>
      <w:r w:rsidRPr="004C4446">
        <w:rPr>
          <w:rFonts w:ascii="Times New Roman" w:hAnsi="Times New Roman"/>
          <w:sz w:val="24"/>
          <w:szCs w:val="24"/>
        </w:rPr>
        <w:t>качества финансового менеджмента, осуществляемого главными распорядителями бюджетных средств</w:t>
      </w:r>
      <w:r w:rsidR="00655E56" w:rsidRPr="004C4446">
        <w:rPr>
          <w:rFonts w:ascii="Times New Roman" w:hAnsi="Times New Roman"/>
          <w:sz w:val="24"/>
          <w:szCs w:val="24"/>
        </w:rPr>
        <w:t xml:space="preserve"> осуществлен</w:t>
      </w:r>
      <w:proofErr w:type="gramEnd"/>
      <w:r w:rsidR="00655E56" w:rsidRPr="004C4446">
        <w:rPr>
          <w:rFonts w:ascii="Times New Roman" w:hAnsi="Times New Roman"/>
          <w:sz w:val="24"/>
          <w:szCs w:val="24"/>
        </w:rPr>
        <w:t xml:space="preserve"> по  </w:t>
      </w:r>
      <w:r w:rsidR="00044C03" w:rsidRPr="004C4446">
        <w:rPr>
          <w:rFonts w:ascii="Times New Roman" w:hAnsi="Times New Roman"/>
          <w:sz w:val="24"/>
          <w:szCs w:val="24"/>
        </w:rPr>
        <w:t>четырем</w:t>
      </w:r>
      <w:r w:rsidRPr="004C4446">
        <w:rPr>
          <w:rFonts w:ascii="Times New Roman" w:hAnsi="Times New Roman"/>
          <w:sz w:val="24"/>
          <w:szCs w:val="24"/>
        </w:rPr>
        <w:t xml:space="preserve"> главным распорядителям средств бюджета </w:t>
      </w:r>
      <w:r w:rsidR="00655E56" w:rsidRPr="004C4446">
        <w:rPr>
          <w:rFonts w:ascii="Times New Roman" w:hAnsi="Times New Roman"/>
          <w:sz w:val="24"/>
          <w:szCs w:val="24"/>
        </w:rPr>
        <w:t>района</w:t>
      </w:r>
      <w:r w:rsidR="00220FE4" w:rsidRPr="004C4446">
        <w:rPr>
          <w:rFonts w:ascii="Times New Roman" w:hAnsi="Times New Roman"/>
          <w:sz w:val="24"/>
          <w:szCs w:val="24"/>
        </w:rPr>
        <w:t>: Администрации Можгинского района, Районному Совету депутатов</w:t>
      </w:r>
      <w:r w:rsidR="002338B9" w:rsidRPr="004C4446">
        <w:rPr>
          <w:rFonts w:ascii="Times New Roman" w:hAnsi="Times New Roman"/>
          <w:sz w:val="24"/>
          <w:szCs w:val="24"/>
        </w:rPr>
        <w:t xml:space="preserve"> муниципального образования «Можгинский район»</w:t>
      </w:r>
      <w:r w:rsidR="00220FE4" w:rsidRPr="004C4446">
        <w:rPr>
          <w:rFonts w:ascii="Times New Roman" w:hAnsi="Times New Roman"/>
          <w:sz w:val="24"/>
          <w:szCs w:val="24"/>
        </w:rPr>
        <w:t>, муниципальному казенному учреждению «Отдел культуры Можгинского района», муниципальному казенному учреждению «Отдел образования Можгинского района»</w:t>
      </w:r>
      <w:r w:rsidRPr="004C4446">
        <w:rPr>
          <w:rFonts w:ascii="Times New Roman" w:hAnsi="Times New Roman"/>
          <w:sz w:val="24"/>
          <w:szCs w:val="24"/>
        </w:rPr>
        <w:t>.</w:t>
      </w:r>
    </w:p>
    <w:p w:rsidR="00E32882" w:rsidRPr="004C4446" w:rsidRDefault="00E32882" w:rsidP="00E32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>Оценка качества финансового менеджмента производилась по следующим направлениям:</w:t>
      </w:r>
    </w:p>
    <w:p w:rsidR="00E32882" w:rsidRPr="004C4446" w:rsidRDefault="00E32882" w:rsidP="00E32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>- оценка среднесрочного финансового планирования бюджета;</w:t>
      </w:r>
    </w:p>
    <w:p w:rsidR="00E32882" w:rsidRPr="004C4446" w:rsidRDefault="00E32882" w:rsidP="00E32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 xml:space="preserve">- оценка исполнения бюджета </w:t>
      </w:r>
      <w:r w:rsidR="00655E56" w:rsidRPr="004C4446">
        <w:rPr>
          <w:rFonts w:ascii="Times New Roman" w:hAnsi="Times New Roman"/>
          <w:sz w:val="24"/>
          <w:szCs w:val="24"/>
        </w:rPr>
        <w:t>муниципального образования</w:t>
      </w:r>
      <w:r w:rsidRPr="004C4446">
        <w:rPr>
          <w:rFonts w:ascii="Times New Roman" w:hAnsi="Times New Roman"/>
          <w:sz w:val="24"/>
          <w:szCs w:val="24"/>
        </w:rPr>
        <w:t>;</w:t>
      </w:r>
    </w:p>
    <w:p w:rsidR="00E32882" w:rsidRPr="004C4446" w:rsidRDefault="00E32882" w:rsidP="00E32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>- оценка состояния учета и отчетности;</w:t>
      </w:r>
    </w:p>
    <w:p w:rsidR="00E32882" w:rsidRPr="004C4446" w:rsidRDefault="00E32882" w:rsidP="00E32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>- оценка организации финансового контроля;</w:t>
      </w:r>
    </w:p>
    <w:p w:rsidR="00E32882" w:rsidRPr="004C4446" w:rsidRDefault="00E32882" w:rsidP="00E32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>- оценка исполнения судебных актов;</w:t>
      </w:r>
    </w:p>
    <w:p w:rsidR="00E32882" w:rsidRPr="004C4446" w:rsidRDefault="00E32882" w:rsidP="00E32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>- оценка автоматизации бюджетного процесса.</w:t>
      </w:r>
    </w:p>
    <w:p w:rsidR="00B00A64" w:rsidRDefault="00E32882" w:rsidP="00B00A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>По главным распорядителям бюджетных средств, не имеющим подведомственной сети, отдельные показатели оценивались в соответствии с методикой проведения годового мониторинга.</w:t>
      </w:r>
    </w:p>
    <w:p w:rsidR="00E32882" w:rsidRPr="004C4446" w:rsidRDefault="00E32882" w:rsidP="00B00A64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C4446">
        <w:rPr>
          <w:rFonts w:ascii="Times New Roman" w:hAnsi="Times New Roman"/>
          <w:b/>
          <w:sz w:val="24"/>
          <w:szCs w:val="24"/>
        </w:rPr>
        <w:t>1. Среднесрочное финансовое планирование</w:t>
      </w:r>
    </w:p>
    <w:p w:rsidR="00E32882" w:rsidRPr="004C4446" w:rsidRDefault="00E32882" w:rsidP="00E32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>Данная группа имеет значительный удельный вес (25%) в итоговой оценке качества финансового менеджмента.</w:t>
      </w:r>
    </w:p>
    <w:p w:rsidR="00E32882" w:rsidRPr="004C4446" w:rsidRDefault="00E32882" w:rsidP="00E32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4446">
        <w:rPr>
          <w:rFonts w:ascii="Times New Roman" w:hAnsi="Times New Roman"/>
          <w:sz w:val="24"/>
          <w:szCs w:val="24"/>
        </w:rPr>
        <w:t>При расчете оценивались показатели: доля бюджетных ассигнований, предусмотренных в рамках целевых программ; доля бюджетных ассигнований на предоставление муниципальных услуг (выполнение работ) физическим и юридическим лицам, оказываемых в соответствии с муниципальным заданием; доля бюджетных ассигнований на предоставление муниципальных услуг (выполнение работ) физическим и юридическим лицам, определяемых на основании расчетно-нормативных затрат; своевременность предоставления реестра расходных обязательств главных распорядителей;</w:t>
      </w:r>
      <w:proofErr w:type="gramEnd"/>
      <w:r w:rsidRPr="004C4446">
        <w:rPr>
          <w:rFonts w:ascii="Times New Roman" w:hAnsi="Times New Roman"/>
          <w:sz w:val="24"/>
          <w:szCs w:val="24"/>
        </w:rPr>
        <w:t xml:space="preserve"> качество подготовки обоснований бюджетных ассигнований. </w:t>
      </w:r>
    </w:p>
    <w:p w:rsidR="00E32882" w:rsidRPr="004C4446" w:rsidRDefault="00E32882" w:rsidP="00E32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 xml:space="preserve">Наибольшая </w:t>
      </w:r>
      <w:r w:rsidRPr="004C4446">
        <w:rPr>
          <w:rFonts w:ascii="Times New Roman" w:hAnsi="Times New Roman"/>
          <w:i/>
          <w:sz w:val="24"/>
          <w:szCs w:val="24"/>
        </w:rPr>
        <w:t>доля бюджетных ассигнований, предусмотренных в рамках целевых программ</w:t>
      </w:r>
      <w:r w:rsidRPr="004C4446">
        <w:rPr>
          <w:rFonts w:ascii="Times New Roman" w:hAnsi="Times New Roman"/>
          <w:sz w:val="24"/>
          <w:szCs w:val="24"/>
        </w:rPr>
        <w:t xml:space="preserve">, отмечена </w:t>
      </w:r>
      <w:r w:rsidR="00935DB9" w:rsidRPr="004C4446">
        <w:rPr>
          <w:rFonts w:ascii="Times New Roman" w:hAnsi="Times New Roman"/>
          <w:sz w:val="24"/>
          <w:szCs w:val="24"/>
        </w:rPr>
        <w:t>в Администрации Можгинского района</w:t>
      </w:r>
      <w:r w:rsidR="00655E56" w:rsidRPr="004C4446">
        <w:rPr>
          <w:rFonts w:ascii="Times New Roman" w:hAnsi="Times New Roman"/>
          <w:sz w:val="24"/>
          <w:szCs w:val="24"/>
        </w:rPr>
        <w:t>, (показатель рассчитан в части муниципальных</w:t>
      </w:r>
      <w:r w:rsidR="00935DB9" w:rsidRPr="004C4446">
        <w:rPr>
          <w:rFonts w:ascii="Times New Roman" w:hAnsi="Times New Roman"/>
          <w:sz w:val="24"/>
          <w:szCs w:val="24"/>
        </w:rPr>
        <w:t xml:space="preserve"> </w:t>
      </w:r>
      <w:r w:rsidR="00655E56" w:rsidRPr="004C4446">
        <w:rPr>
          <w:rFonts w:ascii="Times New Roman" w:hAnsi="Times New Roman"/>
          <w:sz w:val="24"/>
          <w:szCs w:val="24"/>
        </w:rPr>
        <w:t>программ</w:t>
      </w:r>
      <w:r w:rsidR="00895CAC" w:rsidRPr="004C4446">
        <w:rPr>
          <w:rFonts w:ascii="Times New Roman" w:hAnsi="Times New Roman"/>
          <w:sz w:val="24"/>
          <w:szCs w:val="24"/>
        </w:rPr>
        <w:t xml:space="preserve"> действующих в 2014 году</w:t>
      </w:r>
      <w:r w:rsidR="00655E56" w:rsidRPr="004C4446">
        <w:rPr>
          <w:rFonts w:ascii="Times New Roman" w:hAnsi="Times New Roman"/>
          <w:sz w:val="24"/>
          <w:szCs w:val="24"/>
        </w:rPr>
        <w:t>)</w:t>
      </w:r>
      <w:r w:rsidRPr="004C4446">
        <w:rPr>
          <w:rFonts w:ascii="Times New Roman" w:hAnsi="Times New Roman"/>
          <w:sz w:val="24"/>
          <w:szCs w:val="24"/>
        </w:rPr>
        <w:t>.</w:t>
      </w:r>
    </w:p>
    <w:p w:rsidR="00220FE4" w:rsidRPr="004C4446" w:rsidRDefault="002338B9" w:rsidP="00E32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4446">
        <w:rPr>
          <w:rFonts w:ascii="Times New Roman" w:hAnsi="Times New Roman"/>
          <w:sz w:val="24"/>
          <w:szCs w:val="24"/>
        </w:rPr>
        <w:lastRenderedPageBreak/>
        <w:t>П</w:t>
      </w:r>
      <w:r w:rsidR="00E32882" w:rsidRPr="004C4446">
        <w:rPr>
          <w:rFonts w:ascii="Times New Roman" w:hAnsi="Times New Roman"/>
          <w:sz w:val="24"/>
          <w:szCs w:val="24"/>
        </w:rPr>
        <w:t>оказател</w:t>
      </w:r>
      <w:r w:rsidRPr="004C4446">
        <w:rPr>
          <w:rFonts w:ascii="Times New Roman" w:hAnsi="Times New Roman"/>
          <w:sz w:val="24"/>
          <w:szCs w:val="24"/>
        </w:rPr>
        <w:t>ь</w:t>
      </w:r>
      <w:r w:rsidR="00E32882" w:rsidRPr="004C4446">
        <w:rPr>
          <w:rFonts w:ascii="Times New Roman" w:hAnsi="Times New Roman"/>
          <w:sz w:val="24"/>
          <w:szCs w:val="24"/>
        </w:rPr>
        <w:t xml:space="preserve"> </w:t>
      </w:r>
      <w:r w:rsidR="00E32882" w:rsidRPr="004C4446">
        <w:rPr>
          <w:rFonts w:ascii="Times New Roman" w:hAnsi="Times New Roman"/>
          <w:i/>
          <w:sz w:val="24"/>
          <w:szCs w:val="24"/>
        </w:rPr>
        <w:t>«Доля бюджетных ассигнований на предоставление муниципальных услуг (выполнение работ) физическим и юридическим лицам, оказываемых в соответствии с муниципальным заданием»</w:t>
      </w:r>
      <w:r w:rsidR="00E32882" w:rsidRPr="004C4446">
        <w:rPr>
          <w:rFonts w:ascii="Times New Roman" w:hAnsi="Times New Roman"/>
          <w:sz w:val="24"/>
          <w:szCs w:val="24"/>
        </w:rPr>
        <w:t xml:space="preserve"> </w:t>
      </w:r>
      <w:r w:rsidRPr="004C4446">
        <w:rPr>
          <w:rFonts w:ascii="Times New Roman" w:hAnsi="Times New Roman"/>
          <w:sz w:val="24"/>
          <w:szCs w:val="24"/>
        </w:rPr>
        <w:t xml:space="preserve"> рассчитан по Муниципальному казенному учреждению «Отдел образования Можгинского района», поскольку только у данного главного распорядителя бюджетных средств имеются подведомственные</w:t>
      </w:r>
      <w:r w:rsidR="00E32882" w:rsidRPr="004C4446">
        <w:rPr>
          <w:rFonts w:ascii="Times New Roman" w:hAnsi="Times New Roman"/>
          <w:sz w:val="24"/>
          <w:szCs w:val="24"/>
        </w:rPr>
        <w:t xml:space="preserve"> казенны</w:t>
      </w:r>
      <w:r w:rsidRPr="004C4446">
        <w:rPr>
          <w:rFonts w:ascii="Times New Roman" w:hAnsi="Times New Roman"/>
          <w:sz w:val="24"/>
          <w:szCs w:val="24"/>
        </w:rPr>
        <w:t>е</w:t>
      </w:r>
      <w:r w:rsidR="00E32882" w:rsidRPr="004C4446">
        <w:rPr>
          <w:rFonts w:ascii="Times New Roman" w:hAnsi="Times New Roman"/>
          <w:sz w:val="24"/>
          <w:szCs w:val="24"/>
        </w:rPr>
        <w:t xml:space="preserve"> учреждени</w:t>
      </w:r>
      <w:r w:rsidRPr="004C4446">
        <w:rPr>
          <w:rFonts w:ascii="Times New Roman" w:hAnsi="Times New Roman"/>
          <w:sz w:val="24"/>
          <w:szCs w:val="24"/>
        </w:rPr>
        <w:t>я, до которых муниципальные задания в 2014 году не доводились, поэтому результат нулевой.</w:t>
      </w:r>
      <w:r w:rsidR="00E32882" w:rsidRPr="004C4446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32882" w:rsidRPr="004C4446" w:rsidRDefault="00316DBC" w:rsidP="00E32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>П</w:t>
      </w:r>
      <w:r w:rsidR="00E32882" w:rsidRPr="004C4446">
        <w:rPr>
          <w:rFonts w:ascii="Times New Roman" w:hAnsi="Times New Roman"/>
          <w:sz w:val="24"/>
          <w:szCs w:val="24"/>
        </w:rPr>
        <w:t>оказател</w:t>
      </w:r>
      <w:r w:rsidRPr="004C4446">
        <w:rPr>
          <w:rFonts w:ascii="Times New Roman" w:hAnsi="Times New Roman"/>
          <w:sz w:val="24"/>
          <w:szCs w:val="24"/>
        </w:rPr>
        <w:t>ь</w:t>
      </w:r>
      <w:r w:rsidR="00E32882" w:rsidRPr="004C4446">
        <w:rPr>
          <w:rFonts w:ascii="Times New Roman" w:hAnsi="Times New Roman"/>
          <w:sz w:val="24"/>
          <w:szCs w:val="24"/>
        </w:rPr>
        <w:t xml:space="preserve"> </w:t>
      </w:r>
      <w:r w:rsidR="00E32882" w:rsidRPr="004C4446">
        <w:rPr>
          <w:rFonts w:ascii="Times New Roman" w:hAnsi="Times New Roman"/>
          <w:i/>
          <w:sz w:val="24"/>
          <w:szCs w:val="24"/>
        </w:rPr>
        <w:t>«Доля бюджетных ассигнований на предоставление муниципальных услуг (выполнение работ) физическим и юридическим лицам, определяемых на основании расчетно-нормативных затрат»</w:t>
      </w:r>
      <w:r w:rsidR="00E32882" w:rsidRPr="004C4446">
        <w:rPr>
          <w:rFonts w:ascii="Times New Roman" w:hAnsi="Times New Roman"/>
          <w:sz w:val="24"/>
          <w:szCs w:val="24"/>
        </w:rPr>
        <w:t xml:space="preserve"> </w:t>
      </w:r>
      <w:r w:rsidRPr="004C4446">
        <w:rPr>
          <w:rFonts w:ascii="Times New Roman" w:hAnsi="Times New Roman"/>
          <w:sz w:val="24"/>
          <w:szCs w:val="24"/>
        </w:rPr>
        <w:t xml:space="preserve"> рассчитан по</w:t>
      </w:r>
      <w:r w:rsidR="00E32882" w:rsidRPr="004C4446">
        <w:rPr>
          <w:rFonts w:ascii="Times New Roman" w:hAnsi="Times New Roman"/>
          <w:sz w:val="24"/>
          <w:szCs w:val="24"/>
        </w:rPr>
        <w:t xml:space="preserve"> </w:t>
      </w:r>
      <w:r w:rsidR="00941044" w:rsidRPr="004C4446">
        <w:rPr>
          <w:rFonts w:ascii="Times New Roman" w:hAnsi="Times New Roman"/>
          <w:sz w:val="24"/>
          <w:szCs w:val="24"/>
        </w:rPr>
        <w:t>тре</w:t>
      </w:r>
      <w:r w:rsidRPr="004C4446">
        <w:rPr>
          <w:rFonts w:ascii="Times New Roman" w:hAnsi="Times New Roman"/>
          <w:sz w:val="24"/>
          <w:szCs w:val="24"/>
        </w:rPr>
        <w:t>м</w:t>
      </w:r>
      <w:r w:rsidR="00E32882" w:rsidRPr="004C4446">
        <w:rPr>
          <w:rFonts w:ascii="Times New Roman" w:hAnsi="Times New Roman"/>
          <w:sz w:val="24"/>
          <w:szCs w:val="24"/>
        </w:rPr>
        <w:t xml:space="preserve"> главны</w:t>
      </w:r>
      <w:r w:rsidRPr="004C4446">
        <w:rPr>
          <w:rFonts w:ascii="Times New Roman" w:hAnsi="Times New Roman"/>
          <w:sz w:val="24"/>
          <w:szCs w:val="24"/>
        </w:rPr>
        <w:t>м</w:t>
      </w:r>
      <w:r w:rsidR="00E32882" w:rsidRPr="004C4446">
        <w:rPr>
          <w:rFonts w:ascii="Times New Roman" w:hAnsi="Times New Roman"/>
          <w:sz w:val="24"/>
          <w:szCs w:val="24"/>
        </w:rPr>
        <w:t xml:space="preserve"> распорядител</w:t>
      </w:r>
      <w:r w:rsidRPr="004C4446">
        <w:rPr>
          <w:rFonts w:ascii="Times New Roman" w:hAnsi="Times New Roman"/>
          <w:sz w:val="24"/>
          <w:szCs w:val="24"/>
        </w:rPr>
        <w:t>ям</w:t>
      </w:r>
      <w:r w:rsidR="00E32882" w:rsidRPr="004C4446">
        <w:rPr>
          <w:rFonts w:ascii="Times New Roman" w:hAnsi="Times New Roman"/>
          <w:sz w:val="24"/>
          <w:szCs w:val="24"/>
        </w:rPr>
        <w:t xml:space="preserve"> бюджетных средств</w:t>
      </w:r>
      <w:r w:rsidRPr="004C4446">
        <w:rPr>
          <w:rFonts w:ascii="Times New Roman" w:hAnsi="Times New Roman"/>
          <w:sz w:val="24"/>
          <w:szCs w:val="24"/>
        </w:rPr>
        <w:t xml:space="preserve">. На </w:t>
      </w:r>
      <w:r w:rsidR="00655E56" w:rsidRPr="004C4446">
        <w:rPr>
          <w:rFonts w:ascii="Times New Roman" w:hAnsi="Times New Roman"/>
          <w:sz w:val="24"/>
          <w:szCs w:val="24"/>
        </w:rPr>
        <w:t xml:space="preserve">основании </w:t>
      </w:r>
      <w:r w:rsidR="00E32882" w:rsidRPr="004C4446">
        <w:rPr>
          <w:rFonts w:ascii="Times New Roman" w:hAnsi="Times New Roman"/>
          <w:sz w:val="24"/>
          <w:szCs w:val="24"/>
        </w:rPr>
        <w:t>расчетно-нормативны</w:t>
      </w:r>
      <w:r w:rsidR="00655E56" w:rsidRPr="004C4446">
        <w:rPr>
          <w:rFonts w:ascii="Times New Roman" w:hAnsi="Times New Roman"/>
          <w:sz w:val="24"/>
          <w:szCs w:val="24"/>
        </w:rPr>
        <w:t xml:space="preserve">х </w:t>
      </w:r>
      <w:r w:rsidR="00E32882" w:rsidRPr="004C4446">
        <w:rPr>
          <w:rFonts w:ascii="Times New Roman" w:hAnsi="Times New Roman"/>
          <w:sz w:val="24"/>
          <w:szCs w:val="24"/>
        </w:rPr>
        <w:t>затрат</w:t>
      </w:r>
      <w:r w:rsidRPr="004C4446">
        <w:rPr>
          <w:rFonts w:ascii="Times New Roman" w:hAnsi="Times New Roman"/>
          <w:sz w:val="24"/>
          <w:szCs w:val="24"/>
        </w:rPr>
        <w:t xml:space="preserve"> определены бюджетные ассигнования</w:t>
      </w:r>
      <w:r w:rsidR="00941044" w:rsidRPr="004C4446">
        <w:rPr>
          <w:rFonts w:ascii="Times New Roman" w:hAnsi="Times New Roman"/>
          <w:sz w:val="24"/>
          <w:szCs w:val="24"/>
        </w:rPr>
        <w:t xml:space="preserve"> </w:t>
      </w:r>
      <w:r w:rsidR="00044C03" w:rsidRPr="004C4446">
        <w:rPr>
          <w:rFonts w:ascii="Times New Roman" w:hAnsi="Times New Roman"/>
          <w:sz w:val="24"/>
          <w:szCs w:val="24"/>
        </w:rPr>
        <w:t xml:space="preserve">на 2014 год </w:t>
      </w:r>
      <w:r w:rsidR="00D01268" w:rsidRPr="004C4446">
        <w:rPr>
          <w:rFonts w:ascii="Times New Roman" w:hAnsi="Times New Roman"/>
          <w:sz w:val="24"/>
          <w:szCs w:val="24"/>
        </w:rPr>
        <w:t xml:space="preserve">по бюджетным учреждениям </w:t>
      </w:r>
      <w:r w:rsidR="00895CAC" w:rsidRPr="004C4446">
        <w:rPr>
          <w:rFonts w:ascii="Times New Roman" w:hAnsi="Times New Roman"/>
          <w:sz w:val="24"/>
          <w:szCs w:val="24"/>
        </w:rPr>
        <w:t>в части расходов</w:t>
      </w:r>
      <w:r w:rsidR="00941044" w:rsidRPr="004C4446">
        <w:rPr>
          <w:rFonts w:ascii="Times New Roman" w:hAnsi="Times New Roman"/>
          <w:sz w:val="24"/>
          <w:szCs w:val="24"/>
        </w:rPr>
        <w:t xml:space="preserve"> на финансовое обеспечение муниципального задания на оказание муниципальных услуг (выполнение работ)</w:t>
      </w:r>
      <w:r w:rsidR="00D01268" w:rsidRPr="004C4446">
        <w:rPr>
          <w:rFonts w:ascii="Times New Roman" w:hAnsi="Times New Roman"/>
          <w:sz w:val="24"/>
          <w:szCs w:val="24"/>
        </w:rPr>
        <w:t>,</w:t>
      </w:r>
      <w:r w:rsidRPr="004C4446">
        <w:rPr>
          <w:rFonts w:ascii="Times New Roman" w:hAnsi="Times New Roman"/>
          <w:sz w:val="24"/>
          <w:szCs w:val="24"/>
        </w:rPr>
        <w:t xml:space="preserve"> </w:t>
      </w:r>
      <w:r w:rsidR="00D01268" w:rsidRPr="004C4446">
        <w:rPr>
          <w:rFonts w:ascii="Times New Roman" w:hAnsi="Times New Roman"/>
          <w:sz w:val="24"/>
          <w:szCs w:val="24"/>
        </w:rPr>
        <w:t xml:space="preserve">по казенным учреждениям </w:t>
      </w:r>
      <w:r w:rsidR="00895CAC" w:rsidRPr="004C4446">
        <w:rPr>
          <w:rFonts w:ascii="Times New Roman" w:hAnsi="Times New Roman"/>
          <w:sz w:val="24"/>
          <w:szCs w:val="24"/>
        </w:rPr>
        <w:t>в части расходов</w:t>
      </w:r>
      <w:r w:rsidR="00D01268" w:rsidRPr="004C4446">
        <w:rPr>
          <w:rFonts w:ascii="Times New Roman" w:hAnsi="Times New Roman"/>
          <w:sz w:val="24"/>
          <w:szCs w:val="24"/>
        </w:rPr>
        <w:t xml:space="preserve"> </w:t>
      </w:r>
      <w:r w:rsidRPr="004C4446">
        <w:rPr>
          <w:rFonts w:ascii="Times New Roman" w:hAnsi="Times New Roman"/>
          <w:sz w:val="24"/>
          <w:szCs w:val="24"/>
        </w:rPr>
        <w:t>на выполнение государственных полномочий за счет субвенций из</w:t>
      </w:r>
      <w:r w:rsidR="008A585A" w:rsidRPr="004C4446">
        <w:rPr>
          <w:rFonts w:ascii="Times New Roman" w:hAnsi="Times New Roman"/>
          <w:sz w:val="24"/>
          <w:szCs w:val="24"/>
        </w:rPr>
        <w:t xml:space="preserve"> бюджета</w:t>
      </w:r>
      <w:r w:rsidRPr="004C4446">
        <w:rPr>
          <w:rFonts w:ascii="Times New Roman" w:hAnsi="Times New Roman"/>
          <w:sz w:val="24"/>
          <w:szCs w:val="24"/>
        </w:rPr>
        <w:t xml:space="preserve"> УР</w:t>
      </w:r>
      <w:r w:rsidR="00E32882" w:rsidRPr="004C4446">
        <w:rPr>
          <w:rFonts w:ascii="Times New Roman" w:hAnsi="Times New Roman"/>
          <w:sz w:val="24"/>
          <w:szCs w:val="24"/>
        </w:rPr>
        <w:t xml:space="preserve">. </w:t>
      </w:r>
      <w:r w:rsidR="00973FF9" w:rsidRPr="004C4446">
        <w:rPr>
          <w:rFonts w:ascii="Times New Roman" w:hAnsi="Times New Roman"/>
          <w:sz w:val="24"/>
          <w:szCs w:val="24"/>
        </w:rPr>
        <w:t>По всем главным распорядителям данн</w:t>
      </w:r>
      <w:r w:rsidR="00047AF6" w:rsidRPr="004C4446">
        <w:rPr>
          <w:rFonts w:ascii="Times New Roman" w:hAnsi="Times New Roman"/>
          <w:sz w:val="24"/>
          <w:szCs w:val="24"/>
        </w:rPr>
        <w:t>ый</w:t>
      </w:r>
      <w:r w:rsidR="00973FF9" w:rsidRPr="004C4446">
        <w:rPr>
          <w:rFonts w:ascii="Times New Roman" w:hAnsi="Times New Roman"/>
          <w:sz w:val="24"/>
          <w:szCs w:val="24"/>
        </w:rPr>
        <w:t xml:space="preserve"> показател</w:t>
      </w:r>
      <w:r w:rsidR="00047AF6" w:rsidRPr="004C4446">
        <w:rPr>
          <w:rFonts w:ascii="Times New Roman" w:hAnsi="Times New Roman"/>
          <w:sz w:val="24"/>
          <w:szCs w:val="24"/>
        </w:rPr>
        <w:t>ь</w:t>
      </w:r>
      <w:r w:rsidR="00973FF9" w:rsidRPr="004C4446">
        <w:rPr>
          <w:rFonts w:ascii="Times New Roman" w:hAnsi="Times New Roman"/>
          <w:sz w:val="24"/>
          <w:szCs w:val="24"/>
        </w:rPr>
        <w:t xml:space="preserve"> </w:t>
      </w:r>
      <w:r w:rsidR="00047AF6" w:rsidRPr="004C4446">
        <w:rPr>
          <w:rFonts w:ascii="Times New Roman" w:hAnsi="Times New Roman"/>
          <w:sz w:val="24"/>
          <w:szCs w:val="24"/>
        </w:rPr>
        <w:t>имеет</w:t>
      </w:r>
      <w:r w:rsidR="00973FF9" w:rsidRPr="004C4446">
        <w:rPr>
          <w:rFonts w:ascii="Times New Roman" w:hAnsi="Times New Roman"/>
          <w:sz w:val="24"/>
          <w:szCs w:val="24"/>
        </w:rPr>
        <w:t xml:space="preserve"> максимальное значение.</w:t>
      </w:r>
    </w:p>
    <w:p w:rsidR="00B00A64" w:rsidRDefault="00044C03" w:rsidP="00E3288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>П</w:t>
      </w:r>
      <w:r w:rsidR="00E32882" w:rsidRPr="004C4446">
        <w:rPr>
          <w:rFonts w:ascii="Times New Roman" w:hAnsi="Times New Roman"/>
          <w:sz w:val="24"/>
          <w:szCs w:val="24"/>
        </w:rPr>
        <w:t>оказател</w:t>
      </w:r>
      <w:r w:rsidRPr="004C4446">
        <w:rPr>
          <w:rFonts w:ascii="Times New Roman" w:hAnsi="Times New Roman"/>
          <w:sz w:val="24"/>
          <w:szCs w:val="24"/>
        </w:rPr>
        <w:t>ь</w:t>
      </w:r>
      <w:r w:rsidR="00E32882" w:rsidRPr="004C4446">
        <w:rPr>
          <w:rFonts w:ascii="Times New Roman" w:hAnsi="Times New Roman"/>
          <w:sz w:val="24"/>
          <w:szCs w:val="24"/>
        </w:rPr>
        <w:t xml:space="preserve"> </w:t>
      </w:r>
      <w:r w:rsidR="00E32882" w:rsidRPr="004C4446">
        <w:rPr>
          <w:rFonts w:ascii="Times New Roman" w:hAnsi="Times New Roman"/>
          <w:i/>
          <w:sz w:val="24"/>
          <w:szCs w:val="24"/>
        </w:rPr>
        <w:t>«Своевременность предоставления реестра расходных обязатель</w:t>
      </w:r>
      <w:proofErr w:type="gramStart"/>
      <w:r w:rsidR="00E32882" w:rsidRPr="004C4446">
        <w:rPr>
          <w:rFonts w:ascii="Times New Roman" w:hAnsi="Times New Roman"/>
          <w:i/>
          <w:sz w:val="24"/>
          <w:szCs w:val="24"/>
        </w:rPr>
        <w:t>ств</w:t>
      </w:r>
      <w:r w:rsidR="001A7D18" w:rsidRPr="004C4446">
        <w:rPr>
          <w:rFonts w:ascii="Times New Roman" w:hAnsi="Times New Roman"/>
          <w:i/>
          <w:sz w:val="24"/>
          <w:szCs w:val="24"/>
        </w:rPr>
        <w:t xml:space="preserve"> </w:t>
      </w:r>
      <w:r w:rsidR="00E32882" w:rsidRPr="004C4446">
        <w:rPr>
          <w:rFonts w:ascii="Times New Roman" w:hAnsi="Times New Roman"/>
          <w:i/>
          <w:sz w:val="24"/>
          <w:szCs w:val="24"/>
        </w:rPr>
        <w:t xml:space="preserve"> гл</w:t>
      </w:r>
      <w:proofErr w:type="gramEnd"/>
      <w:r w:rsidR="00E32882" w:rsidRPr="004C4446">
        <w:rPr>
          <w:rFonts w:ascii="Times New Roman" w:hAnsi="Times New Roman"/>
          <w:i/>
          <w:sz w:val="24"/>
          <w:szCs w:val="24"/>
        </w:rPr>
        <w:t>авных распорядителей»</w:t>
      </w:r>
      <w:r w:rsidR="00E32882" w:rsidRPr="004C4446">
        <w:rPr>
          <w:rFonts w:ascii="Times New Roman" w:hAnsi="Times New Roman"/>
          <w:sz w:val="24"/>
          <w:szCs w:val="24"/>
        </w:rPr>
        <w:t xml:space="preserve"> оценива</w:t>
      </w:r>
      <w:r w:rsidRPr="004C4446">
        <w:rPr>
          <w:rFonts w:ascii="Times New Roman" w:hAnsi="Times New Roman"/>
          <w:sz w:val="24"/>
          <w:szCs w:val="24"/>
        </w:rPr>
        <w:t>ет</w:t>
      </w:r>
      <w:r w:rsidR="00E32882" w:rsidRPr="004C4446">
        <w:rPr>
          <w:rFonts w:ascii="Times New Roman" w:hAnsi="Times New Roman"/>
          <w:sz w:val="24"/>
          <w:szCs w:val="24"/>
        </w:rPr>
        <w:t xml:space="preserve"> соблюдение сроков предоставления реестра расходных обязательств в Управление финансов </w:t>
      </w:r>
      <w:r w:rsidR="00655E56" w:rsidRPr="004C4446">
        <w:rPr>
          <w:rFonts w:ascii="Times New Roman" w:hAnsi="Times New Roman"/>
          <w:sz w:val="24"/>
          <w:szCs w:val="24"/>
        </w:rPr>
        <w:t>Можгинского района</w:t>
      </w:r>
      <w:r w:rsidR="00E32882" w:rsidRPr="004C4446">
        <w:rPr>
          <w:rFonts w:ascii="Times New Roman" w:hAnsi="Times New Roman"/>
          <w:sz w:val="24"/>
          <w:szCs w:val="24"/>
        </w:rPr>
        <w:t>. Реестр расходных обязатель</w:t>
      </w:r>
      <w:proofErr w:type="gramStart"/>
      <w:r w:rsidR="00E32882" w:rsidRPr="004C4446">
        <w:rPr>
          <w:rFonts w:ascii="Times New Roman" w:hAnsi="Times New Roman"/>
          <w:sz w:val="24"/>
          <w:szCs w:val="24"/>
        </w:rPr>
        <w:t xml:space="preserve">ств </w:t>
      </w:r>
      <w:r w:rsidRPr="004C4446">
        <w:rPr>
          <w:rFonts w:ascii="Times New Roman" w:hAnsi="Times New Roman"/>
          <w:sz w:val="24"/>
          <w:szCs w:val="24"/>
        </w:rPr>
        <w:t>вс</w:t>
      </w:r>
      <w:proofErr w:type="gramEnd"/>
      <w:r w:rsidRPr="004C4446">
        <w:rPr>
          <w:rFonts w:ascii="Times New Roman" w:hAnsi="Times New Roman"/>
          <w:sz w:val="24"/>
          <w:szCs w:val="24"/>
        </w:rPr>
        <w:t xml:space="preserve">е главные распорядители бюджетных средств </w:t>
      </w:r>
      <w:r w:rsidR="00E32882" w:rsidRPr="004C4446">
        <w:rPr>
          <w:rFonts w:ascii="Times New Roman" w:hAnsi="Times New Roman"/>
          <w:sz w:val="24"/>
          <w:szCs w:val="24"/>
        </w:rPr>
        <w:t xml:space="preserve">предоставили </w:t>
      </w:r>
      <w:r w:rsidR="00655E56" w:rsidRPr="004C4446">
        <w:rPr>
          <w:rFonts w:ascii="Times New Roman" w:hAnsi="Times New Roman"/>
          <w:sz w:val="24"/>
          <w:szCs w:val="24"/>
        </w:rPr>
        <w:t>с нарушением сроков.</w:t>
      </w:r>
      <w:r w:rsidR="00051C2F" w:rsidRPr="004C4446">
        <w:rPr>
          <w:rFonts w:ascii="Times New Roman" w:hAnsi="Times New Roman"/>
          <w:sz w:val="24"/>
          <w:szCs w:val="24"/>
        </w:rPr>
        <w:t xml:space="preserve">  </w:t>
      </w:r>
    </w:p>
    <w:p w:rsidR="00E32882" w:rsidRDefault="0093042D" w:rsidP="00E3288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 xml:space="preserve">При оценке показателя </w:t>
      </w:r>
      <w:r w:rsidRPr="004C4446">
        <w:rPr>
          <w:rFonts w:ascii="Times New Roman" w:hAnsi="Times New Roman"/>
          <w:i/>
          <w:sz w:val="24"/>
          <w:szCs w:val="24"/>
        </w:rPr>
        <w:t>«Качество подготовки обоснований бюджетных ассигнований»</w:t>
      </w:r>
      <w:r w:rsidR="00FB43EF" w:rsidRPr="004C4446">
        <w:rPr>
          <w:rFonts w:ascii="Times New Roman" w:hAnsi="Times New Roman"/>
          <w:i/>
          <w:sz w:val="24"/>
          <w:szCs w:val="24"/>
        </w:rPr>
        <w:t xml:space="preserve"> </w:t>
      </w:r>
      <w:r w:rsidR="00FB43EF" w:rsidRPr="004C4446">
        <w:rPr>
          <w:rFonts w:ascii="Times New Roman" w:hAnsi="Times New Roman"/>
          <w:sz w:val="24"/>
          <w:szCs w:val="24"/>
        </w:rPr>
        <w:t>оценивалась доля сумм расходов, планирование которых осуществлялось в рамках целевых программ и нормативным методом.</w:t>
      </w:r>
      <w:r w:rsidR="00051C2F" w:rsidRPr="004C4446">
        <w:rPr>
          <w:rFonts w:ascii="Times New Roman" w:hAnsi="Times New Roman"/>
          <w:sz w:val="24"/>
          <w:szCs w:val="24"/>
        </w:rPr>
        <w:t xml:space="preserve"> </w:t>
      </w:r>
      <w:r w:rsidR="00FB43EF" w:rsidRPr="004C4446">
        <w:rPr>
          <w:rFonts w:ascii="Times New Roman" w:hAnsi="Times New Roman"/>
          <w:sz w:val="24"/>
          <w:szCs w:val="24"/>
        </w:rPr>
        <w:t>В сумму расходов, планирование которых произведено нормативным методом</w:t>
      </w:r>
      <w:r w:rsidR="00E41161" w:rsidRPr="004C4446">
        <w:rPr>
          <w:rFonts w:ascii="Times New Roman" w:hAnsi="Times New Roman"/>
          <w:sz w:val="24"/>
          <w:szCs w:val="24"/>
        </w:rPr>
        <w:t>,</w:t>
      </w:r>
      <w:r w:rsidR="00FB43EF" w:rsidRPr="004C4446">
        <w:rPr>
          <w:rFonts w:ascii="Times New Roman" w:hAnsi="Times New Roman"/>
          <w:sz w:val="24"/>
          <w:szCs w:val="24"/>
        </w:rPr>
        <w:t xml:space="preserve"> </w:t>
      </w:r>
      <w:r w:rsidR="008A585A" w:rsidRPr="004C4446">
        <w:rPr>
          <w:rFonts w:ascii="Times New Roman" w:hAnsi="Times New Roman"/>
          <w:sz w:val="24"/>
          <w:szCs w:val="24"/>
        </w:rPr>
        <w:t>включены расходы на финансовое обеспечение муниципального задания на оказание муниципальных услуг (выполнение работ) и</w:t>
      </w:r>
      <w:r w:rsidR="00FB43EF" w:rsidRPr="004C4446">
        <w:rPr>
          <w:rFonts w:ascii="Times New Roman" w:hAnsi="Times New Roman"/>
          <w:sz w:val="24"/>
          <w:szCs w:val="24"/>
        </w:rPr>
        <w:t xml:space="preserve"> </w:t>
      </w:r>
      <w:r w:rsidR="008A585A" w:rsidRPr="004C4446">
        <w:rPr>
          <w:rFonts w:ascii="Times New Roman" w:hAnsi="Times New Roman"/>
          <w:sz w:val="24"/>
          <w:szCs w:val="24"/>
        </w:rPr>
        <w:t>расходы</w:t>
      </w:r>
      <w:r w:rsidR="00FB43EF" w:rsidRPr="004C4446">
        <w:rPr>
          <w:rFonts w:ascii="Times New Roman" w:hAnsi="Times New Roman"/>
          <w:sz w:val="24"/>
          <w:szCs w:val="24"/>
        </w:rPr>
        <w:t xml:space="preserve">  на выполнение</w:t>
      </w:r>
      <w:r w:rsidR="00051C2F" w:rsidRPr="004C4446">
        <w:rPr>
          <w:rFonts w:ascii="Times New Roman" w:hAnsi="Times New Roman"/>
          <w:sz w:val="24"/>
          <w:szCs w:val="24"/>
        </w:rPr>
        <w:t xml:space="preserve">  </w:t>
      </w:r>
      <w:r w:rsidR="00FB43EF" w:rsidRPr="004C4446">
        <w:rPr>
          <w:rFonts w:ascii="Times New Roman" w:hAnsi="Times New Roman"/>
          <w:sz w:val="24"/>
          <w:szCs w:val="24"/>
        </w:rPr>
        <w:t>государственных полномочий</w:t>
      </w:r>
      <w:r w:rsidR="008A585A" w:rsidRPr="004C4446">
        <w:rPr>
          <w:rFonts w:ascii="Times New Roman" w:hAnsi="Times New Roman"/>
          <w:sz w:val="24"/>
          <w:szCs w:val="24"/>
        </w:rPr>
        <w:t xml:space="preserve"> за счет субвенций из бюджета УР</w:t>
      </w:r>
      <w:r w:rsidR="00FB43EF" w:rsidRPr="004C4446">
        <w:rPr>
          <w:rFonts w:ascii="Times New Roman" w:hAnsi="Times New Roman"/>
          <w:sz w:val="24"/>
          <w:szCs w:val="24"/>
        </w:rPr>
        <w:t xml:space="preserve">. </w:t>
      </w:r>
      <w:r w:rsidR="00051C2F" w:rsidRPr="004C4446">
        <w:rPr>
          <w:rFonts w:ascii="Times New Roman" w:hAnsi="Times New Roman"/>
          <w:sz w:val="24"/>
          <w:szCs w:val="24"/>
        </w:rPr>
        <w:t xml:space="preserve">   </w:t>
      </w:r>
      <w:r w:rsidR="00FB43EF" w:rsidRPr="004C4446">
        <w:rPr>
          <w:rFonts w:ascii="Times New Roman" w:hAnsi="Times New Roman"/>
          <w:sz w:val="24"/>
          <w:szCs w:val="24"/>
        </w:rPr>
        <w:t>В сумму расходов, планирование которых осуществлено в рамках целевых программ</w:t>
      </w:r>
      <w:r w:rsidR="00E41161" w:rsidRPr="004C4446">
        <w:rPr>
          <w:rFonts w:ascii="Times New Roman" w:hAnsi="Times New Roman"/>
          <w:sz w:val="24"/>
          <w:szCs w:val="24"/>
        </w:rPr>
        <w:t>,</w:t>
      </w:r>
      <w:r w:rsidR="00FB43EF" w:rsidRPr="004C4446">
        <w:rPr>
          <w:rFonts w:ascii="Times New Roman" w:hAnsi="Times New Roman"/>
          <w:sz w:val="24"/>
          <w:szCs w:val="24"/>
        </w:rPr>
        <w:t xml:space="preserve"> включены</w:t>
      </w:r>
      <w:r w:rsidR="00051C2F" w:rsidRPr="004C4446">
        <w:rPr>
          <w:rFonts w:ascii="Times New Roman" w:hAnsi="Times New Roman"/>
          <w:sz w:val="24"/>
          <w:szCs w:val="24"/>
        </w:rPr>
        <w:t xml:space="preserve">  </w:t>
      </w:r>
      <w:r w:rsidR="00FB43EF" w:rsidRPr="004C4446">
        <w:rPr>
          <w:rFonts w:ascii="Times New Roman" w:hAnsi="Times New Roman"/>
          <w:sz w:val="24"/>
          <w:szCs w:val="24"/>
        </w:rPr>
        <w:t>муниципальные целевые  программы.</w:t>
      </w:r>
      <w:r w:rsidR="00051C2F" w:rsidRPr="004C4446">
        <w:rPr>
          <w:rFonts w:ascii="Times New Roman" w:hAnsi="Times New Roman"/>
          <w:sz w:val="24"/>
          <w:szCs w:val="24"/>
        </w:rPr>
        <w:t xml:space="preserve">  </w:t>
      </w:r>
      <w:r w:rsidR="00220FE4" w:rsidRPr="004C4446">
        <w:rPr>
          <w:rFonts w:ascii="Times New Roman" w:hAnsi="Times New Roman"/>
          <w:sz w:val="24"/>
          <w:szCs w:val="24"/>
        </w:rPr>
        <w:t xml:space="preserve">Наиболее высоких </w:t>
      </w:r>
      <w:proofErr w:type="gramStart"/>
      <w:r w:rsidR="00220FE4" w:rsidRPr="004C4446">
        <w:rPr>
          <w:rFonts w:ascii="Times New Roman" w:hAnsi="Times New Roman"/>
          <w:sz w:val="24"/>
          <w:szCs w:val="24"/>
        </w:rPr>
        <w:t>результатов</w:t>
      </w:r>
      <w:proofErr w:type="gramEnd"/>
      <w:r w:rsidR="00220FE4" w:rsidRPr="004C4446">
        <w:rPr>
          <w:rFonts w:ascii="Times New Roman" w:hAnsi="Times New Roman"/>
          <w:sz w:val="24"/>
          <w:szCs w:val="24"/>
        </w:rPr>
        <w:t xml:space="preserve"> достигли муниципальн</w:t>
      </w:r>
      <w:r w:rsidR="009451CC" w:rsidRPr="004C4446">
        <w:rPr>
          <w:rFonts w:ascii="Times New Roman" w:hAnsi="Times New Roman"/>
          <w:sz w:val="24"/>
          <w:szCs w:val="24"/>
        </w:rPr>
        <w:t>ые</w:t>
      </w:r>
      <w:r w:rsidR="00220FE4" w:rsidRPr="004C4446">
        <w:rPr>
          <w:rFonts w:ascii="Times New Roman" w:hAnsi="Times New Roman"/>
          <w:sz w:val="24"/>
          <w:szCs w:val="24"/>
        </w:rPr>
        <w:t xml:space="preserve"> казенн</w:t>
      </w:r>
      <w:r w:rsidR="009451CC" w:rsidRPr="004C4446">
        <w:rPr>
          <w:rFonts w:ascii="Times New Roman" w:hAnsi="Times New Roman"/>
          <w:sz w:val="24"/>
          <w:szCs w:val="24"/>
        </w:rPr>
        <w:t>ые учреждения</w:t>
      </w:r>
      <w:r w:rsidR="00220FE4" w:rsidRPr="004C4446">
        <w:rPr>
          <w:rFonts w:ascii="Times New Roman" w:hAnsi="Times New Roman"/>
          <w:sz w:val="24"/>
          <w:szCs w:val="24"/>
        </w:rPr>
        <w:t xml:space="preserve"> «Отдел образования Можгинского района»</w:t>
      </w:r>
      <w:r w:rsidR="00051C2F" w:rsidRPr="004C4446">
        <w:rPr>
          <w:rFonts w:ascii="Times New Roman" w:hAnsi="Times New Roman"/>
          <w:sz w:val="24"/>
          <w:szCs w:val="24"/>
        </w:rPr>
        <w:t xml:space="preserve">   </w:t>
      </w:r>
      <w:r w:rsidR="009451CC" w:rsidRPr="004C4446">
        <w:rPr>
          <w:rFonts w:ascii="Times New Roman" w:hAnsi="Times New Roman"/>
          <w:sz w:val="24"/>
          <w:szCs w:val="24"/>
        </w:rPr>
        <w:t xml:space="preserve">и </w:t>
      </w:r>
      <w:r w:rsidR="00051C2F" w:rsidRPr="004C4446">
        <w:rPr>
          <w:rFonts w:ascii="Times New Roman" w:hAnsi="Times New Roman"/>
          <w:sz w:val="24"/>
          <w:szCs w:val="24"/>
        </w:rPr>
        <w:t xml:space="preserve">  </w:t>
      </w:r>
      <w:r w:rsidR="009451CC" w:rsidRPr="004C4446">
        <w:rPr>
          <w:rFonts w:ascii="Times New Roman" w:hAnsi="Times New Roman"/>
          <w:sz w:val="24"/>
          <w:szCs w:val="24"/>
        </w:rPr>
        <w:t xml:space="preserve">«Отдел культуры Можгинского района».   </w:t>
      </w:r>
    </w:p>
    <w:p w:rsidR="00B00A64" w:rsidRPr="004C4446" w:rsidRDefault="00B00A64" w:rsidP="00E3288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32882" w:rsidRPr="004C4446" w:rsidRDefault="00E32882" w:rsidP="00E32882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C4446">
        <w:rPr>
          <w:rFonts w:ascii="Times New Roman" w:hAnsi="Times New Roman"/>
          <w:b/>
          <w:sz w:val="24"/>
          <w:szCs w:val="24"/>
        </w:rPr>
        <w:t xml:space="preserve">2. Исполнение бюджета </w:t>
      </w:r>
      <w:r w:rsidR="00051C2F" w:rsidRPr="004C4446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E32882" w:rsidRPr="004C4446" w:rsidRDefault="00E32882" w:rsidP="00E32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>Данная группа имеет значительный удельный вес (25%) в итоговой оценке качества финансового менеджмента.</w:t>
      </w:r>
    </w:p>
    <w:p w:rsidR="00E32882" w:rsidRPr="004C4446" w:rsidRDefault="00E32882" w:rsidP="00E32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4446">
        <w:rPr>
          <w:rFonts w:ascii="Times New Roman" w:hAnsi="Times New Roman"/>
          <w:sz w:val="24"/>
          <w:szCs w:val="24"/>
        </w:rPr>
        <w:t>При расчете оценивались показатели: равномерность расходов; своевременность распределения лимитов бюджетных обязательств между казенными учреждениями подведомственной сети; своевременность распределения субсидий на выполнение муниципального задания между подведомственными учреждениями; эффективность управления просроченной кредиторской задолженностью по расчетам с поставщиками и подрядчиками; динамика управления просроченной кредиторской задолженностью по расчетам с поставщиками и подрядчиками; динамика управления дебиторской задолженностью по расчетам с поставщиками и подрядчиками.</w:t>
      </w:r>
      <w:proofErr w:type="gramEnd"/>
    </w:p>
    <w:p w:rsidR="00E32882" w:rsidRPr="004C4446" w:rsidRDefault="00E32882" w:rsidP="00E32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 xml:space="preserve">Наиболее </w:t>
      </w:r>
      <w:r w:rsidRPr="004C4446">
        <w:rPr>
          <w:rFonts w:ascii="Times New Roman" w:hAnsi="Times New Roman"/>
          <w:i/>
          <w:sz w:val="24"/>
          <w:szCs w:val="24"/>
        </w:rPr>
        <w:t>равномерное распределение средств</w:t>
      </w:r>
      <w:r w:rsidRPr="004C4446">
        <w:rPr>
          <w:rFonts w:ascii="Times New Roman" w:hAnsi="Times New Roman"/>
          <w:sz w:val="24"/>
          <w:szCs w:val="24"/>
        </w:rPr>
        <w:t xml:space="preserve"> отмечено у </w:t>
      </w:r>
      <w:r w:rsidR="00426406" w:rsidRPr="004C4446">
        <w:rPr>
          <w:rFonts w:ascii="Times New Roman" w:hAnsi="Times New Roman"/>
          <w:sz w:val="24"/>
          <w:szCs w:val="24"/>
        </w:rPr>
        <w:t xml:space="preserve">Районного Совета депутатов муниципального образования «Можгинский район» </w:t>
      </w:r>
      <w:r w:rsidR="00220FE4" w:rsidRPr="004C4446">
        <w:rPr>
          <w:rFonts w:ascii="Times New Roman" w:hAnsi="Times New Roman"/>
          <w:sz w:val="24"/>
          <w:szCs w:val="24"/>
        </w:rPr>
        <w:t xml:space="preserve">и </w:t>
      </w:r>
      <w:r w:rsidR="006F3ACD" w:rsidRPr="004C4446">
        <w:rPr>
          <w:rFonts w:ascii="Times New Roman" w:hAnsi="Times New Roman"/>
          <w:sz w:val="24"/>
          <w:szCs w:val="24"/>
        </w:rPr>
        <w:t>муниципально</w:t>
      </w:r>
      <w:r w:rsidR="009A3E0A" w:rsidRPr="004C4446">
        <w:rPr>
          <w:rFonts w:ascii="Times New Roman" w:hAnsi="Times New Roman"/>
          <w:sz w:val="24"/>
          <w:szCs w:val="24"/>
        </w:rPr>
        <w:t>го</w:t>
      </w:r>
      <w:r w:rsidR="006F3ACD" w:rsidRPr="004C4446">
        <w:rPr>
          <w:rFonts w:ascii="Times New Roman" w:hAnsi="Times New Roman"/>
          <w:sz w:val="24"/>
          <w:szCs w:val="24"/>
        </w:rPr>
        <w:t xml:space="preserve"> казенно</w:t>
      </w:r>
      <w:r w:rsidR="009A3E0A" w:rsidRPr="004C4446">
        <w:rPr>
          <w:rFonts w:ascii="Times New Roman" w:hAnsi="Times New Roman"/>
          <w:sz w:val="24"/>
          <w:szCs w:val="24"/>
        </w:rPr>
        <w:t>го</w:t>
      </w:r>
      <w:r w:rsidR="006F3ACD" w:rsidRPr="004C4446">
        <w:rPr>
          <w:rFonts w:ascii="Times New Roman" w:hAnsi="Times New Roman"/>
          <w:sz w:val="24"/>
          <w:szCs w:val="24"/>
        </w:rPr>
        <w:t xml:space="preserve"> учреждени</w:t>
      </w:r>
      <w:r w:rsidR="009A3E0A" w:rsidRPr="004C4446">
        <w:rPr>
          <w:rFonts w:ascii="Times New Roman" w:hAnsi="Times New Roman"/>
          <w:sz w:val="24"/>
          <w:szCs w:val="24"/>
        </w:rPr>
        <w:t>я</w:t>
      </w:r>
      <w:r w:rsidR="006F3ACD" w:rsidRPr="004C4446">
        <w:rPr>
          <w:rFonts w:ascii="Times New Roman" w:hAnsi="Times New Roman"/>
          <w:sz w:val="24"/>
          <w:szCs w:val="24"/>
        </w:rPr>
        <w:t xml:space="preserve"> «Отдел </w:t>
      </w:r>
      <w:r w:rsidR="00426406" w:rsidRPr="004C4446">
        <w:rPr>
          <w:rFonts w:ascii="Times New Roman" w:hAnsi="Times New Roman"/>
          <w:sz w:val="24"/>
          <w:szCs w:val="24"/>
        </w:rPr>
        <w:t>культуры</w:t>
      </w:r>
      <w:r w:rsidR="006F3ACD" w:rsidRPr="004C4446">
        <w:rPr>
          <w:rFonts w:ascii="Times New Roman" w:hAnsi="Times New Roman"/>
          <w:sz w:val="24"/>
          <w:szCs w:val="24"/>
        </w:rPr>
        <w:t xml:space="preserve"> Можгинского района»</w:t>
      </w:r>
      <w:r w:rsidRPr="004C4446">
        <w:rPr>
          <w:rFonts w:ascii="Times New Roman" w:hAnsi="Times New Roman"/>
          <w:sz w:val="24"/>
          <w:szCs w:val="24"/>
        </w:rPr>
        <w:t>.</w:t>
      </w:r>
    </w:p>
    <w:p w:rsidR="00E32882" w:rsidRPr="004C4446" w:rsidRDefault="00E32882" w:rsidP="00E32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lastRenderedPageBreak/>
        <w:t>В результате позднего поступления межбюджетных трансфертов</w:t>
      </w:r>
      <w:r w:rsidR="00AD1419" w:rsidRPr="004C4446">
        <w:rPr>
          <w:rFonts w:ascii="Times New Roman" w:hAnsi="Times New Roman"/>
          <w:sz w:val="24"/>
          <w:szCs w:val="24"/>
        </w:rPr>
        <w:t xml:space="preserve"> из бюджета УР</w:t>
      </w:r>
      <w:r w:rsidRPr="004C4446">
        <w:rPr>
          <w:rFonts w:ascii="Times New Roman" w:hAnsi="Times New Roman"/>
          <w:sz w:val="24"/>
          <w:szCs w:val="24"/>
        </w:rPr>
        <w:t>, кассовые расходы за 4 квартал у ряда главных распорядителей бюджетных сре</w:t>
      </w:r>
      <w:proofErr w:type="gramStart"/>
      <w:r w:rsidRPr="004C4446">
        <w:rPr>
          <w:rFonts w:ascii="Times New Roman" w:hAnsi="Times New Roman"/>
          <w:sz w:val="24"/>
          <w:szCs w:val="24"/>
        </w:rPr>
        <w:t>дств пр</w:t>
      </w:r>
      <w:proofErr w:type="gramEnd"/>
      <w:r w:rsidRPr="004C4446">
        <w:rPr>
          <w:rFonts w:ascii="Times New Roman" w:hAnsi="Times New Roman"/>
          <w:sz w:val="24"/>
          <w:szCs w:val="24"/>
        </w:rPr>
        <w:t>евысили оптимальные значения, что привело к неравномерности исполнения расходов.</w:t>
      </w:r>
    </w:p>
    <w:p w:rsidR="00E32882" w:rsidRPr="004C4446" w:rsidRDefault="00051C2F" w:rsidP="00E32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 xml:space="preserve">Всеми </w:t>
      </w:r>
      <w:r w:rsidR="00264910" w:rsidRPr="004C4446">
        <w:rPr>
          <w:rFonts w:ascii="Times New Roman" w:hAnsi="Times New Roman"/>
          <w:sz w:val="24"/>
          <w:szCs w:val="24"/>
        </w:rPr>
        <w:t>главными распорядителями</w:t>
      </w:r>
      <w:r w:rsidR="00E32882" w:rsidRPr="004C4446">
        <w:rPr>
          <w:rFonts w:ascii="Times New Roman" w:hAnsi="Times New Roman"/>
          <w:sz w:val="24"/>
          <w:szCs w:val="24"/>
        </w:rPr>
        <w:t xml:space="preserve"> </w:t>
      </w:r>
      <w:r w:rsidR="00E32882" w:rsidRPr="004C4446">
        <w:rPr>
          <w:rFonts w:ascii="Times New Roman" w:hAnsi="Times New Roman"/>
          <w:i/>
          <w:sz w:val="24"/>
          <w:szCs w:val="24"/>
        </w:rPr>
        <w:t>своевременно распределены лимиты бюджетных обязательств между казенными учреждениями подведомственной сети</w:t>
      </w:r>
      <w:r w:rsidR="00E32882" w:rsidRPr="004C4446">
        <w:rPr>
          <w:rFonts w:ascii="Times New Roman" w:hAnsi="Times New Roman"/>
          <w:sz w:val="24"/>
          <w:szCs w:val="24"/>
        </w:rPr>
        <w:t>.</w:t>
      </w:r>
    </w:p>
    <w:p w:rsidR="002E1657" w:rsidRPr="004C4446" w:rsidRDefault="00E32882" w:rsidP="00E32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 xml:space="preserve">Позитивно расценивается </w:t>
      </w:r>
      <w:r w:rsidRPr="004C4446">
        <w:rPr>
          <w:rFonts w:ascii="Times New Roman" w:hAnsi="Times New Roman"/>
          <w:i/>
          <w:sz w:val="24"/>
          <w:szCs w:val="24"/>
        </w:rPr>
        <w:t>своевременность распределения</w:t>
      </w:r>
      <w:r w:rsidRPr="004C4446">
        <w:rPr>
          <w:rFonts w:ascii="Times New Roman" w:hAnsi="Times New Roman"/>
          <w:sz w:val="24"/>
          <w:szCs w:val="24"/>
        </w:rPr>
        <w:t xml:space="preserve"> </w:t>
      </w:r>
      <w:r w:rsidRPr="004C4446">
        <w:rPr>
          <w:rFonts w:ascii="Times New Roman" w:hAnsi="Times New Roman"/>
          <w:i/>
          <w:sz w:val="24"/>
          <w:szCs w:val="24"/>
        </w:rPr>
        <w:t>субсидий на выполнение муниципального задания между подведомственными учреждениями</w:t>
      </w:r>
      <w:r w:rsidRPr="004C4446">
        <w:rPr>
          <w:rFonts w:ascii="Times New Roman" w:hAnsi="Times New Roman"/>
          <w:sz w:val="24"/>
          <w:szCs w:val="24"/>
        </w:rPr>
        <w:t xml:space="preserve"> </w:t>
      </w:r>
      <w:r w:rsidR="006346B7" w:rsidRPr="004C4446">
        <w:rPr>
          <w:rFonts w:ascii="Times New Roman" w:hAnsi="Times New Roman"/>
          <w:sz w:val="24"/>
          <w:szCs w:val="24"/>
        </w:rPr>
        <w:t>у всех главных распорядителей</w:t>
      </w:r>
      <w:r w:rsidRPr="004C4446">
        <w:rPr>
          <w:rFonts w:ascii="Times New Roman" w:hAnsi="Times New Roman"/>
          <w:sz w:val="24"/>
          <w:szCs w:val="24"/>
        </w:rPr>
        <w:t xml:space="preserve">. </w:t>
      </w:r>
    </w:p>
    <w:p w:rsidR="00D92B60" w:rsidRPr="004C4446" w:rsidRDefault="00E32882" w:rsidP="007042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>Положительно оценивается отсутствие у всех главных распорядителей бюджетных сре</w:t>
      </w:r>
      <w:proofErr w:type="gramStart"/>
      <w:r w:rsidRPr="004C4446">
        <w:rPr>
          <w:rFonts w:ascii="Times New Roman" w:hAnsi="Times New Roman"/>
          <w:sz w:val="24"/>
          <w:szCs w:val="24"/>
        </w:rPr>
        <w:t xml:space="preserve">дств </w:t>
      </w:r>
      <w:r w:rsidRPr="004C4446">
        <w:rPr>
          <w:rFonts w:ascii="Times New Roman" w:hAnsi="Times New Roman"/>
          <w:i/>
          <w:sz w:val="24"/>
          <w:szCs w:val="24"/>
        </w:rPr>
        <w:t>пр</w:t>
      </w:r>
      <w:proofErr w:type="gramEnd"/>
      <w:r w:rsidRPr="004C4446">
        <w:rPr>
          <w:rFonts w:ascii="Times New Roman" w:hAnsi="Times New Roman"/>
          <w:i/>
          <w:sz w:val="24"/>
          <w:szCs w:val="24"/>
        </w:rPr>
        <w:t>осроченной кредиторской задолженности по расчетам с поставщиками и подрядчиками</w:t>
      </w:r>
      <w:r w:rsidR="002F3513" w:rsidRPr="004C4446">
        <w:rPr>
          <w:rFonts w:ascii="Times New Roman" w:hAnsi="Times New Roman"/>
          <w:i/>
          <w:sz w:val="24"/>
          <w:szCs w:val="24"/>
        </w:rPr>
        <w:t xml:space="preserve"> и управление дебиторской задолженностью по расчетам с поставщиками и подрядчиками</w:t>
      </w:r>
      <w:r w:rsidRPr="004C4446">
        <w:rPr>
          <w:rFonts w:ascii="Times New Roman" w:hAnsi="Times New Roman"/>
          <w:i/>
          <w:sz w:val="24"/>
          <w:szCs w:val="24"/>
        </w:rPr>
        <w:t>.</w:t>
      </w:r>
    </w:p>
    <w:p w:rsidR="00E32882" w:rsidRPr="004C4446" w:rsidRDefault="00E32882" w:rsidP="00E32882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C4446">
        <w:rPr>
          <w:rFonts w:ascii="Times New Roman" w:hAnsi="Times New Roman"/>
          <w:b/>
          <w:sz w:val="24"/>
          <w:szCs w:val="24"/>
        </w:rPr>
        <w:t>3. Учет и отчетность</w:t>
      </w:r>
    </w:p>
    <w:p w:rsidR="00E32882" w:rsidRPr="004C4446" w:rsidRDefault="00E32882" w:rsidP="00E32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>Удельный вес данной группы составляет 16% в итоговой оценке качества финансового менеджмента.</w:t>
      </w:r>
    </w:p>
    <w:p w:rsidR="00E32882" w:rsidRPr="004C4446" w:rsidRDefault="00E32882" w:rsidP="00E32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4446">
        <w:rPr>
          <w:rFonts w:ascii="Times New Roman" w:hAnsi="Times New Roman"/>
          <w:sz w:val="24"/>
          <w:szCs w:val="24"/>
        </w:rPr>
        <w:t xml:space="preserve">При расчете оценивались показатели: соблюдение сроков предоставление годовой бюджетной отчетности в Управление финансов; Качество отчетности, предоставляемой в Управление финансов; Предоставление в составе годовой бюджетной «Сведений о мерах по повышению эффективности расходования бюджетных средств»; своевременность и качество предоставления «Отчета о выполнении плана по сети, штатам и контингентам получателей бюджетных средств, состоящих на бюджете </w:t>
      </w:r>
      <w:r w:rsidR="007D63DF" w:rsidRPr="004C4446">
        <w:rPr>
          <w:rFonts w:ascii="Times New Roman" w:hAnsi="Times New Roman"/>
          <w:sz w:val="24"/>
          <w:szCs w:val="24"/>
        </w:rPr>
        <w:t>района</w:t>
      </w:r>
      <w:r w:rsidRPr="004C4446">
        <w:rPr>
          <w:rFonts w:ascii="Times New Roman" w:hAnsi="Times New Roman"/>
          <w:sz w:val="24"/>
          <w:szCs w:val="24"/>
        </w:rPr>
        <w:t>.</w:t>
      </w:r>
      <w:proofErr w:type="gramEnd"/>
    </w:p>
    <w:p w:rsidR="00E32882" w:rsidRPr="004C4446" w:rsidRDefault="00EC632E" w:rsidP="00E32882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>Сам</w:t>
      </w:r>
      <w:r w:rsidR="001C5C4A" w:rsidRPr="004C4446">
        <w:rPr>
          <w:rFonts w:ascii="Times New Roman" w:hAnsi="Times New Roman"/>
          <w:sz w:val="24"/>
          <w:szCs w:val="24"/>
        </w:rPr>
        <w:t>ая</w:t>
      </w:r>
      <w:r w:rsidRPr="004C4446">
        <w:rPr>
          <w:rFonts w:ascii="Times New Roman" w:hAnsi="Times New Roman"/>
          <w:sz w:val="24"/>
          <w:szCs w:val="24"/>
        </w:rPr>
        <w:t xml:space="preserve"> </w:t>
      </w:r>
      <w:r w:rsidR="009A3E0A" w:rsidRPr="004C4446">
        <w:rPr>
          <w:rFonts w:ascii="Times New Roman" w:hAnsi="Times New Roman"/>
          <w:sz w:val="24"/>
          <w:szCs w:val="24"/>
        </w:rPr>
        <w:t xml:space="preserve">высокая </w:t>
      </w:r>
      <w:r w:rsidR="007D63DF" w:rsidRPr="004C4446">
        <w:rPr>
          <w:rFonts w:ascii="Times New Roman" w:hAnsi="Times New Roman"/>
          <w:sz w:val="24"/>
          <w:szCs w:val="24"/>
        </w:rPr>
        <w:t>оценк</w:t>
      </w:r>
      <w:r w:rsidR="001C5C4A" w:rsidRPr="004C4446">
        <w:rPr>
          <w:rFonts w:ascii="Times New Roman" w:hAnsi="Times New Roman"/>
          <w:sz w:val="24"/>
          <w:szCs w:val="24"/>
        </w:rPr>
        <w:t>а</w:t>
      </w:r>
      <w:r w:rsidR="007D2925" w:rsidRPr="004C4446">
        <w:rPr>
          <w:rFonts w:ascii="Times New Roman" w:hAnsi="Times New Roman"/>
          <w:sz w:val="24"/>
          <w:szCs w:val="24"/>
        </w:rPr>
        <w:t xml:space="preserve"> качества учета и отчетности</w:t>
      </w:r>
      <w:r w:rsidR="009A3E0A" w:rsidRPr="004C4446">
        <w:rPr>
          <w:rFonts w:ascii="Times New Roman" w:hAnsi="Times New Roman"/>
          <w:sz w:val="24"/>
          <w:szCs w:val="24"/>
        </w:rPr>
        <w:t xml:space="preserve"> </w:t>
      </w:r>
      <w:r w:rsidR="006F235A" w:rsidRPr="004C4446">
        <w:rPr>
          <w:rFonts w:ascii="Times New Roman" w:hAnsi="Times New Roman"/>
          <w:sz w:val="24"/>
          <w:szCs w:val="24"/>
        </w:rPr>
        <w:t xml:space="preserve">по данной группе показателей </w:t>
      </w:r>
      <w:r w:rsidR="001C5C4A" w:rsidRPr="004C4446">
        <w:rPr>
          <w:rFonts w:ascii="Times New Roman" w:hAnsi="Times New Roman"/>
          <w:sz w:val="24"/>
          <w:szCs w:val="24"/>
        </w:rPr>
        <w:t>у казенного учреждения «Отдел образования Можгинского района»</w:t>
      </w:r>
      <w:r w:rsidR="00E32882" w:rsidRPr="004C4446">
        <w:rPr>
          <w:rFonts w:ascii="Times New Roman" w:hAnsi="Times New Roman"/>
          <w:i/>
          <w:sz w:val="24"/>
          <w:szCs w:val="24"/>
        </w:rPr>
        <w:t>.</w:t>
      </w:r>
    </w:p>
    <w:p w:rsidR="00E32882" w:rsidRPr="004C4446" w:rsidRDefault="00E32882" w:rsidP="00E32882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C4446">
        <w:rPr>
          <w:rFonts w:ascii="Times New Roman" w:hAnsi="Times New Roman"/>
          <w:b/>
          <w:sz w:val="24"/>
          <w:szCs w:val="24"/>
        </w:rPr>
        <w:t>4. Финансовый контроль</w:t>
      </w:r>
    </w:p>
    <w:p w:rsidR="00E32882" w:rsidRPr="004C4446" w:rsidRDefault="00E32882" w:rsidP="00E32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>Удельный вес данной группы составляет 16% в итоговой оценке качества финансового менеджмента.</w:t>
      </w:r>
    </w:p>
    <w:p w:rsidR="00E32882" w:rsidRPr="004C4446" w:rsidRDefault="00E32882" w:rsidP="00E32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>При расчете  оценивались показатели: осуществление мероприятий внутреннего контроля; доля подведомственных учреждений, в отношении которых проведены контрольные мероприятия; проведение инвентаризации; доля недостач и хищений денежных средств и материальных ценностей.</w:t>
      </w:r>
    </w:p>
    <w:p w:rsidR="00E32882" w:rsidRPr="004C4446" w:rsidRDefault="00E32882" w:rsidP="00E32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 xml:space="preserve">Позитивно оценивается, что </w:t>
      </w:r>
      <w:r w:rsidR="00EA4E80" w:rsidRPr="004C4446">
        <w:rPr>
          <w:rFonts w:ascii="Times New Roman" w:hAnsi="Times New Roman"/>
          <w:sz w:val="24"/>
          <w:szCs w:val="24"/>
        </w:rPr>
        <w:t>всеми главными распорядителями проводятся мероприятия по внутренн</w:t>
      </w:r>
      <w:r w:rsidR="006F235A" w:rsidRPr="004C4446">
        <w:rPr>
          <w:rFonts w:ascii="Times New Roman" w:hAnsi="Times New Roman"/>
          <w:sz w:val="24"/>
          <w:szCs w:val="24"/>
        </w:rPr>
        <w:t>ему финансовому контролю</w:t>
      </w:r>
      <w:r w:rsidR="002226C1" w:rsidRPr="004C4446">
        <w:rPr>
          <w:rFonts w:ascii="Times New Roman" w:hAnsi="Times New Roman"/>
          <w:sz w:val="24"/>
          <w:szCs w:val="24"/>
        </w:rPr>
        <w:t>.</w:t>
      </w:r>
    </w:p>
    <w:p w:rsidR="002B0E9B" w:rsidRPr="004C4446" w:rsidRDefault="002B0E9B" w:rsidP="00E32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>Недостач и хищений денежных средств и материальных ценностей не выявлено.</w:t>
      </w:r>
    </w:p>
    <w:p w:rsidR="006F235A" w:rsidRPr="004C4446" w:rsidRDefault="006F235A" w:rsidP="00E32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>Высокую оценку качества учета и отчетности по данной группе показателей получил</w:t>
      </w:r>
      <w:r w:rsidR="00EF48F8" w:rsidRPr="004C4446">
        <w:rPr>
          <w:rFonts w:ascii="Times New Roman" w:hAnsi="Times New Roman"/>
          <w:sz w:val="24"/>
          <w:szCs w:val="24"/>
        </w:rPr>
        <w:t>о</w:t>
      </w:r>
      <w:r w:rsidRPr="004C4446">
        <w:rPr>
          <w:rFonts w:ascii="Times New Roman" w:hAnsi="Times New Roman"/>
          <w:sz w:val="24"/>
          <w:szCs w:val="24"/>
        </w:rPr>
        <w:t xml:space="preserve"> </w:t>
      </w:r>
      <w:r w:rsidR="00EF48F8" w:rsidRPr="004C4446">
        <w:rPr>
          <w:rFonts w:ascii="Times New Roman" w:hAnsi="Times New Roman"/>
          <w:sz w:val="24"/>
          <w:szCs w:val="24"/>
        </w:rPr>
        <w:t>казенное учреждение «Отдел образования Можгинского района»</w:t>
      </w:r>
      <w:r w:rsidR="00337423" w:rsidRPr="004C4446">
        <w:rPr>
          <w:rFonts w:ascii="Times New Roman" w:hAnsi="Times New Roman"/>
          <w:sz w:val="24"/>
          <w:szCs w:val="24"/>
        </w:rPr>
        <w:t>.</w:t>
      </w:r>
    </w:p>
    <w:p w:rsidR="00E32882" w:rsidRPr="004C4446" w:rsidRDefault="00E32882" w:rsidP="00E32882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C4446">
        <w:rPr>
          <w:rFonts w:ascii="Times New Roman" w:hAnsi="Times New Roman"/>
          <w:b/>
          <w:sz w:val="24"/>
          <w:szCs w:val="24"/>
        </w:rPr>
        <w:t>5. Исполнение судебных актов</w:t>
      </w:r>
    </w:p>
    <w:p w:rsidR="00E32882" w:rsidRPr="004C4446" w:rsidRDefault="00E32882" w:rsidP="00E32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>Удельный вес данной группы составляет 16% в итоговой оценке качества финансового менеджмента.</w:t>
      </w:r>
    </w:p>
    <w:p w:rsidR="00E32882" w:rsidRPr="004C4446" w:rsidRDefault="00E32882" w:rsidP="00E32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>При расчете оценивались показатели: сумма, подлежащая взысканию по исполнительным документам; исполнение судебных решений по денежным обязательствам главного распорядителя.</w:t>
      </w:r>
    </w:p>
    <w:p w:rsidR="002226C1" w:rsidRDefault="00B07367" w:rsidP="00B0736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>В 201</w:t>
      </w:r>
      <w:r w:rsidR="00897B8B" w:rsidRPr="004C4446">
        <w:rPr>
          <w:rFonts w:ascii="Times New Roman" w:hAnsi="Times New Roman"/>
          <w:sz w:val="24"/>
          <w:szCs w:val="24"/>
        </w:rPr>
        <w:t>4</w:t>
      </w:r>
      <w:r w:rsidRPr="004C4446">
        <w:rPr>
          <w:rFonts w:ascii="Times New Roman" w:hAnsi="Times New Roman"/>
          <w:sz w:val="24"/>
          <w:szCs w:val="24"/>
        </w:rPr>
        <w:t xml:space="preserve"> году сумма, подлежащая взысканию по поступившим с начала года исполнительным документам, превы</w:t>
      </w:r>
      <w:r w:rsidR="00561E93" w:rsidRPr="004C4446">
        <w:rPr>
          <w:rFonts w:ascii="Times New Roman" w:hAnsi="Times New Roman"/>
          <w:sz w:val="24"/>
          <w:szCs w:val="24"/>
        </w:rPr>
        <w:t>сила</w:t>
      </w:r>
      <w:r w:rsidRPr="004C4446">
        <w:rPr>
          <w:rFonts w:ascii="Times New Roman" w:hAnsi="Times New Roman"/>
          <w:sz w:val="24"/>
          <w:szCs w:val="24"/>
        </w:rPr>
        <w:t xml:space="preserve"> норматив у казенного учреждения «Отдел образования Можгинского района»</w:t>
      </w:r>
      <w:r w:rsidR="002226C1" w:rsidRPr="004C4446">
        <w:rPr>
          <w:rFonts w:ascii="Times New Roman" w:hAnsi="Times New Roman"/>
          <w:sz w:val="24"/>
          <w:szCs w:val="24"/>
        </w:rPr>
        <w:t>.</w:t>
      </w:r>
    </w:p>
    <w:p w:rsidR="00704255" w:rsidRPr="004C4446" w:rsidRDefault="00704255" w:rsidP="00B0736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2882" w:rsidRPr="004C4446" w:rsidRDefault="00E32882" w:rsidP="00E32882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C4446">
        <w:rPr>
          <w:rFonts w:ascii="Times New Roman" w:hAnsi="Times New Roman"/>
          <w:b/>
          <w:sz w:val="24"/>
          <w:szCs w:val="24"/>
        </w:rPr>
        <w:lastRenderedPageBreak/>
        <w:t>6. Автоматизация бюджетного процесса</w:t>
      </w:r>
    </w:p>
    <w:p w:rsidR="00E32882" w:rsidRPr="004C4446" w:rsidRDefault="00E32882" w:rsidP="00E32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2882" w:rsidRPr="004C4446" w:rsidRDefault="00E32882" w:rsidP="00E32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>Удельный вес данной группы составляет 8% в итоговой оценке качества финансового менеджмента.</w:t>
      </w:r>
    </w:p>
    <w:p w:rsidR="00E32882" w:rsidRPr="004C4446" w:rsidRDefault="00E32882" w:rsidP="00E32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>В данной группе оценивались показатели: наличие системы электронного документооборота главного распорядителя с Управлением финансов; наличие системы электронного документооборота между Управлением финансов и подведомственными главному распорядителю учреждениями.</w:t>
      </w:r>
    </w:p>
    <w:p w:rsidR="00E32882" w:rsidRPr="004C4446" w:rsidRDefault="00E32882" w:rsidP="00E3288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 xml:space="preserve">Все главные распорядители бюджетных средств получили итоговую оценку </w:t>
      </w:r>
      <w:r w:rsidR="00897B8B" w:rsidRPr="004C4446">
        <w:rPr>
          <w:rFonts w:ascii="Times New Roman" w:hAnsi="Times New Roman"/>
          <w:sz w:val="24"/>
          <w:szCs w:val="24"/>
        </w:rPr>
        <w:t>100</w:t>
      </w:r>
      <w:r w:rsidRPr="004C4446">
        <w:rPr>
          <w:rFonts w:ascii="Times New Roman" w:hAnsi="Times New Roman"/>
          <w:sz w:val="24"/>
          <w:szCs w:val="24"/>
        </w:rPr>
        <w:t xml:space="preserve">% в связи с </w:t>
      </w:r>
      <w:r w:rsidR="00897B8B" w:rsidRPr="004C4446">
        <w:rPr>
          <w:rFonts w:ascii="Times New Roman" w:hAnsi="Times New Roman"/>
          <w:sz w:val="24"/>
          <w:szCs w:val="24"/>
        </w:rPr>
        <w:t xml:space="preserve">наличием </w:t>
      </w:r>
      <w:r w:rsidRPr="004C4446">
        <w:rPr>
          <w:rFonts w:ascii="Times New Roman" w:hAnsi="Times New Roman"/>
          <w:sz w:val="24"/>
          <w:szCs w:val="24"/>
        </w:rPr>
        <w:t>системы электронного документооборота с Управлением финансов</w:t>
      </w:r>
      <w:r w:rsidR="00897B8B" w:rsidRPr="004C4446">
        <w:rPr>
          <w:rFonts w:ascii="Times New Roman" w:hAnsi="Times New Roman"/>
          <w:sz w:val="24"/>
          <w:szCs w:val="24"/>
        </w:rPr>
        <w:t xml:space="preserve"> Администрации Можгинского района</w:t>
      </w:r>
      <w:r w:rsidRPr="004C4446">
        <w:rPr>
          <w:rFonts w:ascii="Times New Roman" w:hAnsi="Times New Roman"/>
          <w:sz w:val="24"/>
          <w:szCs w:val="24"/>
        </w:rPr>
        <w:t>.</w:t>
      </w:r>
    </w:p>
    <w:p w:rsidR="00561E93" w:rsidRPr="004C4446" w:rsidRDefault="00E32882" w:rsidP="00E3288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 xml:space="preserve">Результаты проведенного годового мониторинга качества финансового менеджмента, осуществляемого главными распорядителями средств бюджета </w:t>
      </w:r>
      <w:r w:rsidR="006B7D37" w:rsidRPr="004C4446">
        <w:rPr>
          <w:rFonts w:ascii="Times New Roman" w:hAnsi="Times New Roman"/>
          <w:sz w:val="24"/>
          <w:szCs w:val="24"/>
        </w:rPr>
        <w:t xml:space="preserve">муниципального образования «Можгинский район» </w:t>
      </w:r>
      <w:r w:rsidRPr="004C4446">
        <w:rPr>
          <w:rFonts w:ascii="Times New Roman" w:hAnsi="Times New Roman"/>
          <w:sz w:val="24"/>
          <w:szCs w:val="24"/>
        </w:rPr>
        <w:t xml:space="preserve"> за 201</w:t>
      </w:r>
      <w:r w:rsidR="00897B8B" w:rsidRPr="004C4446">
        <w:rPr>
          <w:rFonts w:ascii="Times New Roman" w:hAnsi="Times New Roman"/>
          <w:sz w:val="24"/>
          <w:szCs w:val="24"/>
        </w:rPr>
        <w:t>4</w:t>
      </w:r>
      <w:r w:rsidRPr="004C4446">
        <w:rPr>
          <w:rFonts w:ascii="Times New Roman" w:hAnsi="Times New Roman"/>
          <w:sz w:val="24"/>
          <w:szCs w:val="24"/>
        </w:rPr>
        <w:t xml:space="preserve"> год</w:t>
      </w:r>
      <w:r w:rsidR="00E116A2" w:rsidRPr="004C4446">
        <w:rPr>
          <w:rFonts w:ascii="Times New Roman" w:hAnsi="Times New Roman"/>
          <w:sz w:val="24"/>
          <w:szCs w:val="24"/>
        </w:rPr>
        <w:t xml:space="preserve"> показали, что уровень качества является </w:t>
      </w:r>
      <w:r w:rsidR="00E116A2" w:rsidRPr="004C4446">
        <w:rPr>
          <w:rFonts w:ascii="Times New Roman" w:hAnsi="Times New Roman"/>
          <w:i/>
          <w:sz w:val="24"/>
          <w:szCs w:val="24"/>
        </w:rPr>
        <w:t>«</w:t>
      </w:r>
      <w:r w:rsidR="007B2C28" w:rsidRPr="004C4446">
        <w:rPr>
          <w:rFonts w:ascii="Times New Roman" w:hAnsi="Times New Roman"/>
          <w:i/>
          <w:sz w:val="24"/>
          <w:szCs w:val="24"/>
        </w:rPr>
        <w:t>УДОВЛЕТВОРИТЕЛЬНЫМ</w:t>
      </w:r>
      <w:r w:rsidR="00E116A2" w:rsidRPr="004C4446">
        <w:rPr>
          <w:rFonts w:ascii="Times New Roman" w:hAnsi="Times New Roman"/>
          <w:sz w:val="24"/>
          <w:szCs w:val="24"/>
        </w:rPr>
        <w:t>»</w:t>
      </w:r>
      <w:r w:rsidR="008A1776" w:rsidRPr="004C4446">
        <w:rPr>
          <w:rFonts w:ascii="Times New Roman" w:hAnsi="Times New Roman"/>
          <w:sz w:val="24"/>
          <w:szCs w:val="24"/>
        </w:rPr>
        <w:t xml:space="preserve"> (отклонение итоговой оценки качества финансового менеджмента главного распорядителя от максимально возможного уровня качества финансового менеджмента ГРБС составляет 25%)</w:t>
      </w:r>
      <w:r w:rsidR="00E116A2" w:rsidRPr="004C4446">
        <w:rPr>
          <w:rFonts w:ascii="Times New Roman" w:hAnsi="Times New Roman"/>
          <w:sz w:val="24"/>
          <w:szCs w:val="24"/>
        </w:rPr>
        <w:t>. Необходимо принять меры по устранению недостатков в организации финансового менеджмента</w:t>
      </w:r>
      <w:r w:rsidR="007B2C28" w:rsidRPr="004C4446">
        <w:rPr>
          <w:rFonts w:ascii="Times New Roman" w:hAnsi="Times New Roman"/>
          <w:sz w:val="24"/>
          <w:szCs w:val="24"/>
        </w:rPr>
        <w:t>,</w:t>
      </w:r>
      <w:r w:rsidR="00E116A2" w:rsidRPr="004C4446">
        <w:rPr>
          <w:rFonts w:ascii="Times New Roman" w:hAnsi="Times New Roman"/>
          <w:sz w:val="24"/>
          <w:szCs w:val="24"/>
        </w:rPr>
        <w:t xml:space="preserve"> </w:t>
      </w:r>
      <w:r w:rsidR="007B2C28" w:rsidRPr="004C4446">
        <w:rPr>
          <w:rFonts w:ascii="Times New Roman" w:hAnsi="Times New Roman"/>
          <w:sz w:val="24"/>
          <w:szCs w:val="24"/>
        </w:rPr>
        <w:t>п</w:t>
      </w:r>
      <w:r w:rsidR="00E116A2" w:rsidRPr="004C4446">
        <w:rPr>
          <w:rFonts w:ascii="Times New Roman" w:hAnsi="Times New Roman"/>
          <w:sz w:val="24"/>
          <w:szCs w:val="24"/>
        </w:rPr>
        <w:t>ровести комплекс мероприятий, направленных на улучшение  качества</w:t>
      </w:r>
      <w:r w:rsidR="007B2C28" w:rsidRPr="004C4446">
        <w:rPr>
          <w:rFonts w:ascii="Times New Roman" w:hAnsi="Times New Roman"/>
          <w:sz w:val="24"/>
          <w:szCs w:val="24"/>
        </w:rPr>
        <w:t xml:space="preserve"> финансового менеджмента главн</w:t>
      </w:r>
      <w:r w:rsidR="008A1776" w:rsidRPr="004C4446">
        <w:rPr>
          <w:rFonts w:ascii="Times New Roman" w:hAnsi="Times New Roman"/>
          <w:sz w:val="24"/>
          <w:szCs w:val="24"/>
        </w:rPr>
        <w:t>ых</w:t>
      </w:r>
      <w:r w:rsidR="007B2C28" w:rsidRPr="004C4446">
        <w:rPr>
          <w:rFonts w:ascii="Times New Roman" w:hAnsi="Times New Roman"/>
          <w:sz w:val="24"/>
          <w:szCs w:val="24"/>
        </w:rPr>
        <w:t xml:space="preserve"> распорядител</w:t>
      </w:r>
      <w:r w:rsidR="008A1776" w:rsidRPr="004C4446">
        <w:rPr>
          <w:rFonts w:ascii="Times New Roman" w:hAnsi="Times New Roman"/>
          <w:sz w:val="24"/>
          <w:szCs w:val="24"/>
        </w:rPr>
        <w:t>ей</w:t>
      </w:r>
      <w:r w:rsidR="00E116A2" w:rsidRPr="004C4446">
        <w:rPr>
          <w:rFonts w:ascii="Times New Roman" w:hAnsi="Times New Roman"/>
          <w:sz w:val="24"/>
          <w:szCs w:val="24"/>
        </w:rPr>
        <w:t>.</w:t>
      </w:r>
    </w:p>
    <w:p w:rsidR="00385CD7" w:rsidRPr="004C4446" w:rsidRDefault="008A1776" w:rsidP="00E3288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 xml:space="preserve"> </w:t>
      </w:r>
      <w:r w:rsidR="00CC283C" w:rsidRPr="004C4446">
        <w:rPr>
          <w:rFonts w:ascii="Times New Roman" w:hAnsi="Times New Roman"/>
          <w:sz w:val="24"/>
          <w:szCs w:val="24"/>
        </w:rPr>
        <w:t>В 2014 году п</w:t>
      </w:r>
      <w:r w:rsidRPr="004C4446">
        <w:rPr>
          <w:rFonts w:ascii="Times New Roman" w:hAnsi="Times New Roman"/>
          <w:sz w:val="24"/>
          <w:szCs w:val="24"/>
        </w:rPr>
        <w:t xml:space="preserve">о сравнению с 2013 годом, где результат </w:t>
      </w:r>
      <w:r w:rsidR="00CC283C" w:rsidRPr="004C4446">
        <w:rPr>
          <w:rFonts w:ascii="Times New Roman" w:hAnsi="Times New Roman"/>
          <w:sz w:val="24"/>
          <w:szCs w:val="24"/>
        </w:rPr>
        <w:t xml:space="preserve">отклонения итоговой оценки качества финансового менеджмента главного распорядителя от максимально возможного уровня качества финансового менеджмента ГРБС составлял </w:t>
      </w:r>
      <w:proofErr w:type="gramStart"/>
      <w:r w:rsidR="00CC283C" w:rsidRPr="004C4446">
        <w:rPr>
          <w:rFonts w:ascii="Times New Roman" w:hAnsi="Times New Roman"/>
          <w:sz w:val="24"/>
          <w:szCs w:val="24"/>
        </w:rPr>
        <w:t>44</w:t>
      </w:r>
      <w:proofErr w:type="gramEnd"/>
      <w:r w:rsidR="00CC283C" w:rsidRPr="004C4446">
        <w:rPr>
          <w:rFonts w:ascii="Times New Roman" w:hAnsi="Times New Roman"/>
          <w:sz w:val="24"/>
          <w:szCs w:val="24"/>
        </w:rPr>
        <w:t xml:space="preserve"> % и уровень качества являлся «НИЗКИМ»</w:t>
      </w:r>
      <w:r w:rsidR="00385CD7">
        <w:rPr>
          <w:rFonts w:ascii="Times New Roman" w:hAnsi="Times New Roman"/>
          <w:sz w:val="24"/>
          <w:szCs w:val="24"/>
        </w:rPr>
        <w:t>, достигнуты хорошие результаты.</w:t>
      </w:r>
    </w:p>
    <w:p w:rsidR="00E32882" w:rsidRPr="004C4446" w:rsidRDefault="00E116A2" w:rsidP="00E32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 xml:space="preserve">Итоговый рейтинг </w:t>
      </w:r>
      <w:r w:rsidR="00E32882" w:rsidRPr="004C4446">
        <w:rPr>
          <w:rFonts w:ascii="Times New Roman" w:hAnsi="Times New Roman"/>
          <w:sz w:val="24"/>
          <w:szCs w:val="24"/>
        </w:rPr>
        <w:t>оценк</w:t>
      </w:r>
      <w:r w:rsidRPr="004C4446">
        <w:rPr>
          <w:rFonts w:ascii="Times New Roman" w:hAnsi="Times New Roman"/>
          <w:sz w:val="24"/>
          <w:szCs w:val="24"/>
        </w:rPr>
        <w:t>и</w:t>
      </w:r>
      <w:r w:rsidR="00E32882" w:rsidRPr="004C4446">
        <w:rPr>
          <w:rFonts w:ascii="Times New Roman" w:hAnsi="Times New Roman"/>
          <w:sz w:val="24"/>
          <w:szCs w:val="24"/>
        </w:rPr>
        <w:t xml:space="preserve"> качества финансового менеджмента главн</w:t>
      </w:r>
      <w:r w:rsidRPr="004C4446">
        <w:rPr>
          <w:rFonts w:ascii="Times New Roman" w:hAnsi="Times New Roman"/>
          <w:sz w:val="24"/>
          <w:szCs w:val="24"/>
        </w:rPr>
        <w:t>ых</w:t>
      </w:r>
      <w:r w:rsidR="00E32882" w:rsidRPr="004C4446">
        <w:rPr>
          <w:rFonts w:ascii="Times New Roman" w:hAnsi="Times New Roman"/>
          <w:sz w:val="24"/>
          <w:szCs w:val="24"/>
        </w:rPr>
        <w:t xml:space="preserve"> распорядител</w:t>
      </w:r>
      <w:r w:rsidRPr="004C4446">
        <w:rPr>
          <w:rFonts w:ascii="Times New Roman" w:hAnsi="Times New Roman"/>
          <w:sz w:val="24"/>
          <w:szCs w:val="24"/>
        </w:rPr>
        <w:t>ей за 201</w:t>
      </w:r>
      <w:r w:rsidR="00CC283C" w:rsidRPr="004C4446">
        <w:rPr>
          <w:rFonts w:ascii="Times New Roman" w:hAnsi="Times New Roman"/>
          <w:sz w:val="24"/>
          <w:szCs w:val="24"/>
        </w:rPr>
        <w:t>4</w:t>
      </w:r>
      <w:r w:rsidRPr="004C4446">
        <w:rPr>
          <w:rFonts w:ascii="Times New Roman" w:hAnsi="Times New Roman"/>
          <w:sz w:val="24"/>
          <w:szCs w:val="24"/>
        </w:rPr>
        <w:t xml:space="preserve"> год:</w:t>
      </w:r>
    </w:p>
    <w:p w:rsidR="00800204" w:rsidRPr="004C4446" w:rsidRDefault="00800204" w:rsidP="0007462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 xml:space="preserve">Администрация </w:t>
      </w:r>
      <w:r w:rsidR="00CA23C5">
        <w:rPr>
          <w:rFonts w:ascii="Times New Roman" w:hAnsi="Times New Roman"/>
          <w:sz w:val="24"/>
          <w:szCs w:val="24"/>
        </w:rPr>
        <w:t>муниципального образования «Можгинский район»</w:t>
      </w:r>
    </w:p>
    <w:p w:rsidR="00074629" w:rsidRPr="004C4446" w:rsidRDefault="00074629" w:rsidP="0007462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>Муниципальное казенное учреждение «Отдел образования Можгинского района»</w:t>
      </w:r>
    </w:p>
    <w:p w:rsidR="00E32882" w:rsidRPr="004F52F6" w:rsidRDefault="00800204" w:rsidP="004F52F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52F6">
        <w:rPr>
          <w:rFonts w:ascii="Times New Roman" w:hAnsi="Times New Roman"/>
          <w:sz w:val="24"/>
          <w:szCs w:val="24"/>
        </w:rPr>
        <w:t>Муниципальное казенное учреждение «Отдел культуры Можгинского района»</w:t>
      </w:r>
    </w:p>
    <w:p w:rsidR="004F52F6" w:rsidRPr="004F52F6" w:rsidRDefault="004F52F6" w:rsidP="004F52F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Районный Совет депутатов муниципального образования «Можгинский район».</w:t>
      </w:r>
    </w:p>
    <w:p w:rsidR="004F52F6" w:rsidRDefault="004F52F6" w:rsidP="004F52F6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В соответствии с Порядком </w:t>
      </w:r>
      <w:r w:rsidRPr="004F52F6">
        <w:rPr>
          <w:rFonts w:ascii="Times New Roman" w:hAnsi="Times New Roman"/>
          <w:color w:val="000000"/>
        </w:rPr>
        <w:t>применения результатов мониторинга качества финансового менеджмента главных распорядителей средств бюджета муниципального</w:t>
      </w:r>
      <w:r>
        <w:rPr>
          <w:rFonts w:ascii="Times New Roman" w:hAnsi="Times New Roman"/>
          <w:color w:val="000000"/>
        </w:rPr>
        <w:t xml:space="preserve"> образования «Можгинский район», утвержденного Постановлением Администрации муниципального образования «Можгинский район» от 20.03.2015г. №</w:t>
      </w:r>
      <w:r w:rsidR="004919CA">
        <w:rPr>
          <w:rFonts w:ascii="Times New Roman" w:hAnsi="Times New Roman"/>
          <w:color w:val="000000"/>
        </w:rPr>
        <w:t xml:space="preserve"> 323</w:t>
      </w:r>
      <w:r>
        <w:rPr>
          <w:rFonts w:ascii="Times New Roman" w:hAnsi="Times New Roman"/>
          <w:color w:val="000000"/>
        </w:rPr>
        <w:t xml:space="preserve"> (дале</w:t>
      </w:r>
      <w:proofErr w:type="gramStart"/>
      <w:r>
        <w:rPr>
          <w:rFonts w:ascii="Times New Roman" w:hAnsi="Times New Roman"/>
          <w:color w:val="000000"/>
        </w:rPr>
        <w:t>е-</w:t>
      </w:r>
      <w:proofErr w:type="gramEnd"/>
      <w:r>
        <w:rPr>
          <w:rFonts w:ascii="Times New Roman" w:hAnsi="Times New Roman"/>
          <w:color w:val="000000"/>
        </w:rPr>
        <w:t xml:space="preserve"> Порядок), г</w:t>
      </w:r>
      <w:r w:rsidRPr="004F52F6">
        <w:rPr>
          <w:rFonts w:ascii="Times New Roman" w:hAnsi="Times New Roman"/>
          <w:color w:val="000000"/>
          <w:sz w:val="24"/>
          <w:szCs w:val="24"/>
        </w:rPr>
        <w:t>лавные распорядители, достигшие по результатам проведенного годового мониторинга высокого уровня качества  финансового менеджмента, либо достигли результатов, которые привели к повышению уровня качества финансового</w:t>
      </w:r>
      <w:r w:rsidRPr="004F52F6">
        <w:rPr>
          <w:color w:val="000000"/>
          <w:sz w:val="24"/>
          <w:szCs w:val="24"/>
        </w:rPr>
        <w:t xml:space="preserve"> </w:t>
      </w:r>
      <w:r w:rsidRPr="004F52F6">
        <w:rPr>
          <w:rFonts w:ascii="Times New Roman" w:hAnsi="Times New Roman"/>
          <w:color w:val="000000"/>
          <w:sz w:val="24"/>
          <w:szCs w:val="24"/>
        </w:rPr>
        <w:t>менеджмента к предыдущему году, получают стимулирующие выплаты.</w:t>
      </w:r>
    </w:p>
    <w:p w:rsidR="00CA23C5" w:rsidRDefault="004F52F6" w:rsidP="004F52F6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В соответствии с </w:t>
      </w:r>
      <w:r w:rsidRPr="004F52F6">
        <w:rPr>
          <w:rFonts w:ascii="Times New Roman" w:hAnsi="Times New Roman"/>
          <w:color w:val="000000"/>
          <w:sz w:val="24"/>
          <w:szCs w:val="24"/>
        </w:rPr>
        <w:t xml:space="preserve"> утвержденн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 w:rsidRPr="004F52F6">
        <w:rPr>
          <w:rFonts w:ascii="Times New Roman" w:hAnsi="Times New Roman"/>
          <w:color w:val="000000"/>
          <w:sz w:val="24"/>
          <w:szCs w:val="24"/>
        </w:rPr>
        <w:t xml:space="preserve"> Порядк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="00CA23C5">
        <w:rPr>
          <w:rFonts w:ascii="Times New Roman" w:hAnsi="Times New Roman"/>
          <w:color w:val="000000"/>
          <w:sz w:val="24"/>
          <w:szCs w:val="24"/>
        </w:rPr>
        <w:t xml:space="preserve"> объем стимулирующих выплат от общего объема составляет:</w:t>
      </w:r>
    </w:p>
    <w:p w:rsidR="00CA23C5" w:rsidRDefault="00CA23C5" w:rsidP="004F52F6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F52F6" w:rsidRPr="004F52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60% </w:t>
      </w:r>
      <w:r w:rsidR="004F52F6" w:rsidRPr="004F52F6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4F52F6">
        <w:rPr>
          <w:rFonts w:ascii="Times New Roman" w:hAnsi="Times New Roman"/>
          <w:color w:val="000000"/>
          <w:sz w:val="24"/>
          <w:szCs w:val="24"/>
        </w:rPr>
        <w:t>м</w:t>
      </w:r>
      <w:r w:rsidR="004F52F6" w:rsidRPr="004F52F6">
        <w:rPr>
          <w:rFonts w:ascii="Times New Roman" w:hAnsi="Times New Roman"/>
          <w:sz w:val="24"/>
          <w:szCs w:val="24"/>
        </w:rPr>
        <w:t>униципальн</w:t>
      </w:r>
      <w:r w:rsidR="004F52F6">
        <w:rPr>
          <w:rFonts w:ascii="Times New Roman" w:hAnsi="Times New Roman"/>
          <w:sz w:val="24"/>
          <w:szCs w:val="24"/>
        </w:rPr>
        <w:t>ые</w:t>
      </w:r>
      <w:r w:rsidR="004F52F6" w:rsidRPr="004F52F6">
        <w:rPr>
          <w:rFonts w:ascii="Times New Roman" w:hAnsi="Times New Roman"/>
          <w:sz w:val="24"/>
          <w:szCs w:val="24"/>
        </w:rPr>
        <w:t xml:space="preserve"> казенн</w:t>
      </w:r>
      <w:r w:rsidR="004F52F6">
        <w:rPr>
          <w:rFonts w:ascii="Times New Roman" w:hAnsi="Times New Roman"/>
          <w:sz w:val="24"/>
          <w:szCs w:val="24"/>
        </w:rPr>
        <w:t>ые</w:t>
      </w:r>
      <w:r w:rsidR="004F52F6" w:rsidRPr="004F52F6">
        <w:rPr>
          <w:rFonts w:ascii="Times New Roman" w:hAnsi="Times New Roman"/>
          <w:sz w:val="24"/>
          <w:szCs w:val="24"/>
        </w:rPr>
        <w:t xml:space="preserve"> учреждени</w:t>
      </w:r>
      <w:r w:rsidR="004F52F6">
        <w:rPr>
          <w:rFonts w:ascii="Times New Roman" w:hAnsi="Times New Roman"/>
          <w:sz w:val="24"/>
          <w:szCs w:val="24"/>
        </w:rPr>
        <w:t>я</w:t>
      </w:r>
      <w:r w:rsidR="004F52F6" w:rsidRPr="004F52F6">
        <w:rPr>
          <w:rFonts w:ascii="Times New Roman" w:hAnsi="Times New Roman"/>
          <w:sz w:val="24"/>
          <w:szCs w:val="24"/>
        </w:rPr>
        <w:t xml:space="preserve"> «Отдел образования Можгинского района»</w:t>
      </w:r>
      <w:r w:rsidR="004F52F6">
        <w:rPr>
          <w:rFonts w:ascii="Times New Roman" w:hAnsi="Times New Roman"/>
          <w:sz w:val="24"/>
          <w:szCs w:val="24"/>
        </w:rPr>
        <w:t xml:space="preserve"> и </w:t>
      </w:r>
      <w:r w:rsidR="004F52F6" w:rsidRPr="004F52F6">
        <w:rPr>
          <w:rFonts w:ascii="Times New Roman" w:hAnsi="Times New Roman"/>
          <w:sz w:val="24"/>
          <w:szCs w:val="24"/>
        </w:rPr>
        <w:t>«Отдел культуры Можгинского района»</w:t>
      </w:r>
      <w:r w:rsidR="00566477">
        <w:rPr>
          <w:rFonts w:ascii="Times New Roman" w:hAnsi="Times New Roman"/>
          <w:sz w:val="24"/>
          <w:szCs w:val="24"/>
        </w:rPr>
        <w:t xml:space="preserve"> </w:t>
      </w:r>
      <w:r w:rsidR="00536D0D" w:rsidRPr="00536D0D">
        <w:rPr>
          <w:rFonts w:ascii="Times New Roman" w:hAnsi="Times New Roman"/>
          <w:color w:val="000000"/>
          <w:sz w:val="24"/>
          <w:szCs w:val="24"/>
        </w:rPr>
        <w:t>(имею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 w:rsidR="00536D0D" w:rsidRPr="00536D0D">
        <w:rPr>
          <w:rFonts w:ascii="Times New Roman" w:hAnsi="Times New Roman"/>
          <w:color w:val="000000"/>
          <w:sz w:val="24"/>
          <w:szCs w:val="24"/>
        </w:rPr>
        <w:t xml:space="preserve"> подведомственные учреждения)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F52F6" w:rsidRDefault="00CA23C5" w:rsidP="004F52F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- 30 % на </w:t>
      </w:r>
      <w:r w:rsidRPr="004C4446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ю</w:t>
      </w:r>
      <w:r w:rsidRPr="004C44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«Можгинский район» и Районный Совет депутатов муниципального образования «Можгинский район»</w:t>
      </w:r>
      <w:r w:rsidR="0098596B">
        <w:rPr>
          <w:rFonts w:ascii="Times New Roman" w:hAnsi="Times New Roman"/>
          <w:sz w:val="24"/>
          <w:szCs w:val="24"/>
        </w:rPr>
        <w:t xml:space="preserve"> (нет подведомственных учреждений)</w:t>
      </w:r>
      <w:r>
        <w:rPr>
          <w:rFonts w:ascii="Times New Roman" w:hAnsi="Times New Roman"/>
          <w:sz w:val="24"/>
          <w:szCs w:val="24"/>
        </w:rPr>
        <w:t>;</w:t>
      </w:r>
    </w:p>
    <w:p w:rsidR="00CA23C5" w:rsidRPr="00CA23C5" w:rsidRDefault="00385CD7" w:rsidP="004F52F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A23C5">
        <w:rPr>
          <w:rFonts w:ascii="Times New Roman" w:hAnsi="Times New Roman"/>
          <w:sz w:val="24"/>
          <w:szCs w:val="24"/>
        </w:rPr>
        <w:t xml:space="preserve">- 10 %  на Управление финансов Администрации муниципального образования «Можгинский район» </w:t>
      </w:r>
      <w:r w:rsidR="00CA23C5" w:rsidRPr="00CA23C5">
        <w:rPr>
          <w:rFonts w:ascii="Times New Roman" w:hAnsi="Times New Roman"/>
          <w:color w:val="000000"/>
        </w:rPr>
        <w:t>за организацию и проведение мониторинга качества финансового менеджмента</w:t>
      </w:r>
      <w:r w:rsidR="00CA23C5">
        <w:rPr>
          <w:rFonts w:ascii="Times New Roman" w:hAnsi="Times New Roman"/>
          <w:color w:val="000000"/>
        </w:rPr>
        <w:t>.</w:t>
      </w:r>
    </w:p>
    <w:p w:rsidR="009609B0" w:rsidRDefault="005B7F52" w:rsidP="009609B0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9609B0">
        <w:rPr>
          <w:rFonts w:ascii="Times New Roman" w:hAnsi="Times New Roman"/>
          <w:color w:val="000000"/>
          <w:sz w:val="24"/>
          <w:szCs w:val="24"/>
        </w:rPr>
        <w:t xml:space="preserve">В бюджете муниципального образования «Можгинский район» на 2015 год </w:t>
      </w:r>
      <w:r w:rsidR="00704255">
        <w:rPr>
          <w:rFonts w:ascii="Times New Roman" w:hAnsi="Times New Roman"/>
          <w:color w:val="000000"/>
          <w:sz w:val="24"/>
          <w:szCs w:val="24"/>
        </w:rPr>
        <w:t xml:space="preserve">в рамках </w:t>
      </w:r>
      <w:r w:rsidR="00666A4E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="00704255">
        <w:rPr>
          <w:rFonts w:ascii="Times New Roman" w:hAnsi="Times New Roman"/>
          <w:color w:val="000000"/>
          <w:sz w:val="24"/>
          <w:szCs w:val="24"/>
        </w:rPr>
        <w:t xml:space="preserve">подпрограммы </w:t>
      </w:r>
      <w:r w:rsidR="00666A4E">
        <w:rPr>
          <w:rFonts w:ascii="Times New Roman" w:hAnsi="Times New Roman"/>
          <w:color w:val="000000"/>
          <w:sz w:val="24"/>
          <w:szCs w:val="24"/>
        </w:rPr>
        <w:t>«</w:t>
      </w:r>
      <w:r w:rsidR="00666A4E" w:rsidRPr="006C3F0A">
        <w:rPr>
          <w:rFonts w:ascii="Times New Roman" w:hAnsi="Times New Roman"/>
          <w:bCs/>
          <w:sz w:val="24"/>
          <w:szCs w:val="24"/>
        </w:rPr>
        <w:t>Повышение эффективности расходов консолидированного бюджета Можгинского района</w:t>
      </w:r>
      <w:r w:rsidR="00666A4E">
        <w:rPr>
          <w:rFonts w:ascii="Times New Roman" w:hAnsi="Times New Roman"/>
          <w:bCs/>
          <w:sz w:val="24"/>
          <w:szCs w:val="24"/>
        </w:rPr>
        <w:t>»</w:t>
      </w:r>
      <w:r w:rsidR="0070425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609B0">
        <w:rPr>
          <w:rFonts w:ascii="Times New Roman" w:hAnsi="Times New Roman"/>
          <w:color w:val="000000"/>
          <w:sz w:val="24"/>
          <w:szCs w:val="24"/>
        </w:rPr>
        <w:t>на  с</w:t>
      </w:r>
      <w:r w:rsidR="009609B0" w:rsidRPr="004F52F6">
        <w:rPr>
          <w:rFonts w:ascii="Times New Roman" w:hAnsi="Times New Roman"/>
          <w:color w:val="000000"/>
          <w:sz w:val="24"/>
          <w:szCs w:val="24"/>
        </w:rPr>
        <w:t>тимулирование главных распорядителей по итогам оценки качества финансового менеджмента</w:t>
      </w:r>
      <w:r w:rsidR="009609B0">
        <w:rPr>
          <w:rFonts w:ascii="Times New Roman" w:hAnsi="Times New Roman"/>
          <w:color w:val="000000"/>
          <w:sz w:val="24"/>
          <w:szCs w:val="24"/>
        </w:rPr>
        <w:t xml:space="preserve"> предусмотрено 100,0 </w:t>
      </w:r>
      <w:proofErr w:type="spellStart"/>
      <w:r w:rsidR="009609B0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="009609B0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="009609B0">
        <w:rPr>
          <w:rFonts w:ascii="Times New Roman" w:hAnsi="Times New Roman"/>
          <w:color w:val="000000"/>
          <w:sz w:val="24"/>
          <w:szCs w:val="24"/>
        </w:rPr>
        <w:t>уб</w:t>
      </w:r>
      <w:proofErr w:type="spellEnd"/>
      <w:r w:rsidR="009609B0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9609B0">
        <w:rPr>
          <w:rFonts w:ascii="Times New Roman" w:hAnsi="Times New Roman"/>
          <w:color w:val="000000"/>
          <w:sz w:val="24"/>
          <w:szCs w:val="24"/>
        </w:rPr>
        <w:t xml:space="preserve">итогам мониторинга за 2014 год Управление финансов Администрации муниципального образования «Можгинский район» предлагает произвести стимулирование главных распорядителей следующим образом:            </w:t>
      </w:r>
    </w:p>
    <w:p w:rsidR="009609B0" w:rsidRPr="009609B0" w:rsidRDefault="009609B0" w:rsidP="009609B0">
      <w:pPr>
        <w:spacing w:after="0"/>
        <w:contextualSpacing/>
        <w:jc w:val="both"/>
        <w:rPr>
          <w:rFonts w:ascii="Times New Roman" w:hAnsi="Times New Roman"/>
        </w:rPr>
      </w:pPr>
      <w:r w:rsidRPr="009609B0">
        <w:rPr>
          <w:rFonts w:ascii="Times New Roman" w:hAnsi="Times New Roman"/>
        </w:rPr>
        <w:t xml:space="preserve">Администрация муниципального образования «Можгинский район»-  30 </w:t>
      </w:r>
      <w:proofErr w:type="spellStart"/>
      <w:r w:rsidRPr="009609B0">
        <w:rPr>
          <w:rFonts w:ascii="Times New Roman" w:hAnsi="Times New Roman"/>
        </w:rPr>
        <w:t>тыс</w:t>
      </w:r>
      <w:proofErr w:type="gramStart"/>
      <w:r w:rsidRPr="009609B0">
        <w:rPr>
          <w:rFonts w:ascii="Times New Roman" w:hAnsi="Times New Roman"/>
        </w:rPr>
        <w:t>.р</w:t>
      </w:r>
      <w:proofErr w:type="gramEnd"/>
      <w:r w:rsidRPr="009609B0">
        <w:rPr>
          <w:rFonts w:ascii="Times New Roman" w:hAnsi="Times New Roman"/>
        </w:rPr>
        <w:t>уб</w:t>
      </w:r>
      <w:proofErr w:type="spellEnd"/>
      <w:r w:rsidRPr="009609B0">
        <w:rPr>
          <w:rFonts w:ascii="Times New Roman" w:hAnsi="Times New Roman"/>
        </w:rPr>
        <w:t>.</w:t>
      </w:r>
    </w:p>
    <w:p w:rsidR="009609B0" w:rsidRPr="009609B0" w:rsidRDefault="009609B0" w:rsidP="009609B0">
      <w:pPr>
        <w:spacing w:after="0"/>
        <w:jc w:val="both"/>
        <w:rPr>
          <w:rFonts w:ascii="Times New Roman" w:hAnsi="Times New Roman"/>
        </w:rPr>
      </w:pPr>
      <w:r w:rsidRPr="009609B0">
        <w:rPr>
          <w:rFonts w:ascii="Times New Roman" w:hAnsi="Times New Roman"/>
        </w:rPr>
        <w:t xml:space="preserve">Муниципальное казенное учреждение «Отдел образования Можгинского района»- 40 </w:t>
      </w:r>
      <w:proofErr w:type="spellStart"/>
      <w:r w:rsidRPr="009609B0">
        <w:rPr>
          <w:rFonts w:ascii="Times New Roman" w:hAnsi="Times New Roman"/>
        </w:rPr>
        <w:t>тыс</w:t>
      </w:r>
      <w:proofErr w:type="gramStart"/>
      <w:r w:rsidRPr="009609B0">
        <w:rPr>
          <w:rFonts w:ascii="Times New Roman" w:hAnsi="Times New Roman"/>
        </w:rPr>
        <w:t>.р</w:t>
      </w:r>
      <w:proofErr w:type="gramEnd"/>
      <w:r w:rsidRPr="009609B0">
        <w:rPr>
          <w:rFonts w:ascii="Times New Roman" w:hAnsi="Times New Roman"/>
        </w:rPr>
        <w:t>уб</w:t>
      </w:r>
      <w:proofErr w:type="spellEnd"/>
      <w:r w:rsidRPr="009609B0">
        <w:rPr>
          <w:rFonts w:ascii="Times New Roman" w:hAnsi="Times New Roman"/>
        </w:rPr>
        <w:t>.</w:t>
      </w:r>
    </w:p>
    <w:p w:rsidR="009609B0" w:rsidRPr="009609B0" w:rsidRDefault="009609B0" w:rsidP="009609B0">
      <w:pPr>
        <w:spacing w:after="0"/>
        <w:jc w:val="both"/>
        <w:rPr>
          <w:rFonts w:ascii="Times New Roman" w:hAnsi="Times New Roman"/>
        </w:rPr>
      </w:pPr>
      <w:r w:rsidRPr="009609B0">
        <w:rPr>
          <w:rFonts w:ascii="Times New Roman" w:hAnsi="Times New Roman"/>
        </w:rPr>
        <w:t xml:space="preserve">Муниципальное казенное учреждение «Отдел культуры Можгинского района»- 20 </w:t>
      </w:r>
      <w:proofErr w:type="spellStart"/>
      <w:r w:rsidRPr="009609B0">
        <w:rPr>
          <w:rFonts w:ascii="Times New Roman" w:hAnsi="Times New Roman"/>
        </w:rPr>
        <w:t>тыс</w:t>
      </w:r>
      <w:proofErr w:type="gramStart"/>
      <w:r w:rsidRPr="009609B0">
        <w:rPr>
          <w:rFonts w:ascii="Times New Roman" w:hAnsi="Times New Roman"/>
        </w:rPr>
        <w:t>.р</w:t>
      </w:r>
      <w:proofErr w:type="gramEnd"/>
      <w:r w:rsidRPr="009609B0">
        <w:rPr>
          <w:rFonts w:ascii="Times New Roman" w:hAnsi="Times New Roman"/>
        </w:rPr>
        <w:t>уб</w:t>
      </w:r>
      <w:proofErr w:type="spellEnd"/>
      <w:r w:rsidRPr="009609B0">
        <w:rPr>
          <w:rFonts w:ascii="Times New Roman" w:hAnsi="Times New Roman"/>
        </w:rPr>
        <w:t>.</w:t>
      </w:r>
    </w:p>
    <w:p w:rsidR="005B7F52" w:rsidRPr="009609B0" w:rsidRDefault="009609B0" w:rsidP="009609B0">
      <w:pPr>
        <w:contextualSpacing/>
        <w:jc w:val="both"/>
        <w:rPr>
          <w:rFonts w:ascii="Times New Roman" w:hAnsi="Times New Roman"/>
        </w:rPr>
      </w:pPr>
      <w:r w:rsidRPr="009609B0">
        <w:rPr>
          <w:rFonts w:ascii="Times New Roman" w:hAnsi="Times New Roman"/>
        </w:rPr>
        <w:t>Районный Совет депутатов муниципального образования «Можгинский район</w:t>
      </w:r>
    </w:p>
    <w:p w:rsidR="009609B0" w:rsidRDefault="009609B0" w:rsidP="009609B0">
      <w:pPr>
        <w:spacing w:after="0"/>
        <w:contextualSpacing/>
        <w:jc w:val="both"/>
        <w:rPr>
          <w:rFonts w:ascii="Times New Roman" w:hAnsi="Times New Roman"/>
        </w:rPr>
      </w:pPr>
      <w:r w:rsidRPr="009609B0">
        <w:rPr>
          <w:rFonts w:ascii="Times New Roman" w:hAnsi="Times New Roman"/>
        </w:rPr>
        <w:t xml:space="preserve">Управление финансов Администрации муниципального образования «Можгинский район»- 10 </w:t>
      </w:r>
      <w:proofErr w:type="spellStart"/>
      <w:r w:rsidRPr="009609B0">
        <w:rPr>
          <w:rFonts w:ascii="Times New Roman" w:hAnsi="Times New Roman"/>
        </w:rPr>
        <w:t>тыс</w:t>
      </w:r>
      <w:proofErr w:type="gramStart"/>
      <w:r w:rsidRPr="009609B0">
        <w:rPr>
          <w:rFonts w:ascii="Times New Roman" w:hAnsi="Times New Roman"/>
        </w:rPr>
        <w:t>.р</w:t>
      </w:r>
      <w:proofErr w:type="gramEnd"/>
      <w:r w:rsidRPr="009609B0">
        <w:rPr>
          <w:rFonts w:ascii="Times New Roman" w:hAnsi="Times New Roman"/>
        </w:rPr>
        <w:t>уб</w:t>
      </w:r>
      <w:proofErr w:type="spellEnd"/>
      <w:r w:rsidRPr="009609B0">
        <w:rPr>
          <w:rFonts w:ascii="Times New Roman" w:hAnsi="Times New Roman"/>
        </w:rPr>
        <w:t>.</w:t>
      </w:r>
    </w:p>
    <w:p w:rsidR="00503CB7" w:rsidRPr="00CA23C5" w:rsidRDefault="00503CB7" w:rsidP="00503CB7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A23C5">
        <w:rPr>
          <w:rFonts w:ascii="Times New Roman" w:hAnsi="Times New Roman"/>
          <w:color w:val="000000"/>
          <w:sz w:val="24"/>
          <w:szCs w:val="24"/>
        </w:rPr>
        <w:t xml:space="preserve">           Использование стимулирующих выплат, полученных главными распорядителями по результатам мониторинга качества финансового менеджмента</w:t>
      </w:r>
      <w:r>
        <w:rPr>
          <w:rFonts w:ascii="Times New Roman" w:hAnsi="Times New Roman"/>
          <w:color w:val="000000"/>
          <w:sz w:val="24"/>
          <w:szCs w:val="24"/>
        </w:rPr>
        <w:t xml:space="preserve"> за 2014 год</w:t>
      </w:r>
      <w:r w:rsidRPr="00CA23C5">
        <w:rPr>
          <w:rFonts w:ascii="Times New Roman" w:hAnsi="Times New Roman"/>
          <w:color w:val="000000"/>
          <w:sz w:val="24"/>
          <w:szCs w:val="24"/>
        </w:rPr>
        <w:t>, производится на следующие цели:</w:t>
      </w:r>
    </w:p>
    <w:p w:rsidR="00503CB7" w:rsidRPr="00CA23C5" w:rsidRDefault="00503CB7" w:rsidP="00503CB7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A23C5">
        <w:rPr>
          <w:rFonts w:ascii="Times New Roman" w:hAnsi="Times New Roman"/>
          <w:color w:val="000000"/>
          <w:sz w:val="24"/>
          <w:szCs w:val="24"/>
        </w:rPr>
        <w:t>-  приобретение, установка и поддержка программных продуктов;</w:t>
      </w:r>
    </w:p>
    <w:p w:rsidR="00503CB7" w:rsidRPr="00CA23C5" w:rsidRDefault="00503CB7" w:rsidP="00503CB7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A23C5">
        <w:rPr>
          <w:rFonts w:ascii="Times New Roman" w:hAnsi="Times New Roman"/>
          <w:color w:val="000000"/>
          <w:sz w:val="24"/>
          <w:szCs w:val="24"/>
        </w:rPr>
        <w:t>-  укрепление  материально- технической базы;</w:t>
      </w:r>
    </w:p>
    <w:p w:rsidR="00503CB7" w:rsidRPr="00CA23C5" w:rsidRDefault="00503CB7" w:rsidP="00503CB7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A23C5">
        <w:rPr>
          <w:rFonts w:ascii="Times New Roman" w:hAnsi="Times New Roman"/>
          <w:color w:val="000000"/>
          <w:sz w:val="24"/>
          <w:szCs w:val="24"/>
        </w:rPr>
        <w:t>- профессиональную подготовку, переподготовку и повышение квалификации муниципальных служащих, работников муниципальных учреждений в сфере повышения эффективности бюджетных расходов и управления муниципальными финансами;</w:t>
      </w:r>
    </w:p>
    <w:p w:rsidR="00503CB7" w:rsidRPr="009609B0" w:rsidRDefault="00503CB7" w:rsidP="00503CB7">
      <w:pPr>
        <w:contextualSpacing/>
        <w:jc w:val="both"/>
        <w:rPr>
          <w:rFonts w:ascii="Times New Roman" w:hAnsi="Times New Roman"/>
        </w:rPr>
      </w:pPr>
      <w:r w:rsidRPr="00CA23C5">
        <w:rPr>
          <w:rFonts w:ascii="Times New Roman" w:hAnsi="Times New Roman"/>
          <w:color w:val="000000"/>
          <w:sz w:val="24"/>
          <w:szCs w:val="24"/>
        </w:rPr>
        <w:t>-  материальное поощрение муниципальных служащих, работников муниципальных учреждений за профессиональную  деятельность, которая привела к повышению уровня качества финансового менеджмента, в целях стимулирования их к дальнейшему выполнению мероприятий направленных на повышение качества финансового менеджмента главных распорядителей.</w:t>
      </w:r>
      <w:r>
        <w:rPr>
          <w:rFonts w:ascii="Times New Roman" w:hAnsi="Times New Roman"/>
        </w:rPr>
        <w:t xml:space="preserve">              </w:t>
      </w:r>
    </w:p>
    <w:p w:rsidR="00E32882" w:rsidRDefault="009609B0" w:rsidP="009609B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32882" w:rsidRPr="004C4446">
        <w:rPr>
          <w:rFonts w:ascii="Times New Roman" w:hAnsi="Times New Roman"/>
          <w:sz w:val="24"/>
          <w:szCs w:val="24"/>
        </w:rPr>
        <w:t xml:space="preserve">Итоговый отчет о результатах проведения годового мониторинга качества финансового менеджмента по главным распорядителям средств бюджета </w:t>
      </w:r>
      <w:r w:rsidR="00E116A2" w:rsidRPr="004C4446">
        <w:rPr>
          <w:rFonts w:ascii="Times New Roman" w:hAnsi="Times New Roman"/>
          <w:sz w:val="24"/>
          <w:szCs w:val="24"/>
        </w:rPr>
        <w:t>муниципального образования «Можгинский район»</w:t>
      </w:r>
      <w:r w:rsidR="00366207">
        <w:rPr>
          <w:rFonts w:ascii="Times New Roman" w:hAnsi="Times New Roman"/>
          <w:sz w:val="24"/>
          <w:szCs w:val="24"/>
        </w:rPr>
        <w:t xml:space="preserve"> за 2014 год</w:t>
      </w:r>
      <w:r w:rsidR="00E32882" w:rsidRPr="004C4446">
        <w:rPr>
          <w:rFonts w:ascii="Times New Roman" w:hAnsi="Times New Roman"/>
          <w:sz w:val="24"/>
          <w:szCs w:val="24"/>
        </w:rPr>
        <w:t xml:space="preserve"> и результаты оценки по каждой группе прилагаются</w:t>
      </w:r>
      <w:r w:rsidR="005B7F52">
        <w:rPr>
          <w:rFonts w:ascii="Times New Roman" w:hAnsi="Times New Roman"/>
          <w:sz w:val="24"/>
          <w:szCs w:val="24"/>
        </w:rPr>
        <w:t xml:space="preserve">. Результаты размещены на сайте муниципального образования «Можгинский район» </w:t>
      </w:r>
      <w:r w:rsidR="005B7F52" w:rsidRPr="005B7F52">
        <w:rPr>
          <w:rFonts w:ascii="Times New Roman" w:hAnsi="Times New Roman"/>
          <w:color w:val="000000"/>
          <w:sz w:val="24"/>
          <w:szCs w:val="24"/>
        </w:rPr>
        <w:t>в информационно - телекоммуникационной сети "Интернет"</w:t>
      </w:r>
      <w:r w:rsidR="00E32882" w:rsidRPr="005B7F52">
        <w:rPr>
          <w:rFonts w:ascii="Times New Roman" w:hAnsi="Times New Roman"/>
          <w:sz w:val="24"/>
          <w:szCs w:val="24"/>
        </w:rPr>
        <w:t>.</w:t>
      </w:r>
    </w:p>
    <w:p w:rsidR="00385CD7" w:rsidRDefault="00385CD7" w:rsidP="009609B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385CD7" w:rsidRDefault="00385CD7" w:rsidP="009609B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385CD7" w:rsidRDefault="00385CD7" w:rsidP="00385CD7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 результатов мониторинга главных распорядителей за 2013- 2014 годы</w:t>
      </w:r>
    </w:p>
    <w:p w:rsidR="00385CD7" w:rsidRDefault="00385CD7" w:rsidP="00385CD7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11"/>
        <w:gridCol w:w="1066"/>
        <w:gridCol w:w="1644"/>
        <w:gridCol w:w="1136"/>
        <w:gridCol w:w="937"/>
        <w:gridCol w:w="1244"/>
        <w:gridCol w:w="1532"/>
      </w:tblGrid>
      <w:tr w:rsidR="00385CD7" w:rsidTr="00385CD7">
        <w:tc>
          <w:tcPr>
            <w:tcW w:w="2011" w:type="dxa"/>
            <w:vMerge w:val="restart"/>
            <w:vAlign w:val="center"/>
          </w:tcPr>
          <w:p w:rsidR="00385CD7" w:rsidRPr="00385CD7" w:rsidRDefault="00385CD7" w:rsidP="00385C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D7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1066" w:type="dxa"/>
            <w:vMerge w:val="restart"/>
            <w:vAlign w:val="center"/>
          </w:tcPr>
          <w:p w:rsidR="00385CD7" w:rsidRPr="00385CD7" w:rsidRDefault="00385CD7" w:rsidP="00385C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 рейтинг за 2014 год</w:t>
            </w:r>
          </w:p>
        </w:tc>
        <w:tc>
          <w:tcPr>
            <w:tcW w:w="1644" w:type="dxa"/>
            <w:vMerge w:val="restart"/>
            <w:vAlign w:val="center"/>
          </w:tcPr>
          <w:p w:rsidR="00385CD7" w:rsidRPr="00385CD7" w:rsidRDefault="00385CD7" w:rsidP="00385C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стимулирующих выплат в группе</w:t>
            </w:r>
          </w:p>
        </w:tc>
        <w:tc>
          <w:tcPr>
            <w:tcW w:w="3317" w:type="dxa"/>
            <w:gridSpan w:val="3"/>
            <w:vAlign w:val="center"/>
          </w:tcPr>
          <w:p w:rsidR="00385CD7" w:rsidRPr="00385CD7" w:rsidRDefault="00385CD7" w:rsidP="00385C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Динамика итоговой оценки качества финансового менеджмента</w:t>
            </w:r>
          </w:p>
        </w:tc>
        <w:tc>
          <w:tcPr>
            <w:tcW w:w="1532" w:type="dxa"/>
            <w:vMerge w:val="restart"/>
            <w:vAlign w:val="center"/>
          </w:tcPr>
          <w:p w:rsidR="00385CD7" w:rsidRPr="00385CD7" w:rsidRDefault="00385CD7" w:rsidP="00385C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бюджетных ассигнований подлежащий распределению по итогам мониторинга за 2014 год</w:t>
            </w:r>
          </w:p>
        </w:tc>
      </w:tr>
      <w:tr w:rsidR="00385CD7" w:rsidTr="00385CD7">
        <w:tc>
          <w:tcPr>
            <w:tcW w:w="2011" w:type="dxa"/>
            <w:vMerge/>
          </w:tcPr>
          <w:p w:rsidR="00385CD7" w:rsidRPr="00385CD7" w:rsidRDefault="00385CD7" w:rsidP="00385C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85CD7" w:rsidRPr="00385CD7" w:rsidRDefault="00385CD7" w:rsidP="009609B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385CD7" w:rsidRPr="00385CD7" w:rsidRDefault="00385CD7" w:rsidP="009609B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385CD7" w:rsidRPr="00385CD7" w:rsidRDefault="00385CD7" w:rsidP="009609B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937" w:type="dxa"/>
          </w:tcPr>
          <w:p w:rsidR="00385CD7" w:rsidRPr="00385CD7" w:rsidRDefault="00385CD7" w:rsidP="009609B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244" w:type="dxa"/>
          </w:tcPr>
          <w:p w:rsidR="00385CD7" w:rsidRPr="00385CD7" w:rsidRDefault="00385CD7" w:rsidP="00385C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(+/-)</w:t>
            </w:r>
            <w:proofErr w:type="gramEnd"/>
          </w:p>
        </w:tc>
        <w:tc>
          <w:tcPr>
            <w:tcW w:w="1532" w:type="dxa"/>
            <w:vMerge/>
          </w:tcPr>
          <w:p w:rsidR="00385CD7" w:rsidRPr="00385CD7" w:rsidRDefault="00385CD7" w:rsidP="009609B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5CD7" w:rsidTr="00D47CBD">
        <w:tc>
          <w:tcPr>
            <w:tcW w:w="9570" w:type="dxa"/>
            <w:gridSpan w:val="7"/>
          </w:tcPr>
          <w:p w:rsidR="00385CD7" w:rsidRPr="00385CD7" w:rsidRDefault="00385CD7" w:rsidP="00385C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имеющие подведомственные учреждения</w:t>
            </w:r>
          </w:p>
        </w:tc>
      </w:tr>
      <w:tr w:rsidR="00385CD7" w:rsidTr="00385CD7">
        <w:tc>
          <w:tcPr>
            <w:tcW w:w="2011" w:type="dxa"/>
          </w:tcPr>
          <w:p w:rsidR="00385CD7" w:rsidRPr="00385CD7" w:rsidRDefault="00385CD7" w:rsidP="00385CD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5CD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«Отдел образования Можгинского района»</w:t>
            </w:r>
          </w:p>
        </w:tc>
        <w:tc>
          <w:tcPr>
            <w:tcW w:w="1066" w:type="dxa"/>
            <w:vAlign w:val="center"/>
          </w:tcPr>
          <w:p w:rsidR="00385CD7" w:rsidRPr="00385CD7" w:rsidRDefault="00385CD7" w:rsidP="00385C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vMerge w:val="restart"/>
            <w:vAlign w:val="center"/>
          </w:tcPr>
          <w:p w:rsidR="00385CD7" w:rsidRPr="00385CD7" w:rsidRDefault="00385CD7" w:rsidP="00385C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60 %</w:t>
            </w:r>
          </w:p>
        </w:tc>
        <w:tc>
          <w:tcPr>
            <w:tcW w:w="1136" w:type="dxa"/>
            <w:vAlign w:val="center"/>
          </w:tcPr>
          <w:p w:rsidR="00385CD7" w:rsidRPr="00385CD7" w:rsidRDefault="00385CD7" w:rsidP="00385C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51,1</w:t>
            </w:r>
          </w:p>
        </w:tc>
        <w:tc>
          <w:tcPr>
            <w:tcW w:w="937" w:type="dxa"/>
            <w:vAlign w:val="center"/>
          </w:tcPr>
          <w:p w:rsidR="00385CD7" w:rsidRPr="00385CD7" w:rsidRDefault="00385CD7" w:rsidP="00385C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72,7</w:t>
            </w:r>
          </w:p>
        </w:tc>
        <w:tc>
          <w:tcPr>
            <w:tcW w:w="1244" w:type="dxa"/>
            <w:vAlign w:val="center"/>
          </w:tcPr>
          <w:p w:rsidR="00385CD7" w:rsidRPr="00385CD7" w:rsidRDefault="00385CD7" w:rsidP="00385C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+21,6</w:t>
            </w:r>
          </w:p>
        </w:tc>
        <w:tc>
          <w:tcPr>
            <w:tcW w:w="1532" w:type="dxa"/>
            <w:vAlign w:val="center"/>
          </w:tcPr>
          <w:p w:rsidR="00385CD7" w:rsidRPr="00385CD7" w:rsidRDefault="00385CD7" w:rsidP="00385C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385CD7" w:rsidTr="00385CD7">
        <w:tc>
          <w:tcPr>
            <w:tcW w:w="2011" w:type="dxa"/>
          </w:tcPr>
          <w:p w:rsidR="00385CD7" w:rsidRPr="00385CD7" w:rsidRDefault="00385CD7" w:rsidP="00385CD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5CD7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 w:rsidRPr="00385CD7">
              <w:rPr>
                <w:rFonts w:ascii="Times New Roman" w:hAnsi="Times New Roman"/>
                <w:sz w:val="20"/>
                <w:szCs w:val="20"/>
              </w:rPr>
              <w:lastRenderedPageBreak/>
              <w:t>казенное учреждение «Отдел культуры Можгинского района»</w:t>
            </w:r>
          </w:p>
        </w:tc>
        <w:tc>
          <w:tcPr>
            <w:tcW w:w="1066" w:type="dxa"/>
            <w:vAlign w:val="center"/>
          </w:tcPr>
          <w:p w:rsidR="00385CD7" w:rsidRPr="00385CD7" w:rsidRDefault="00385CD7" w:rsidP="00385C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44" w:type="dxa"/>
            <w:vMerge/>
            <w:vAlign w:val="center"/>
          </w:tcPr>
          <w:p w:rsidR="00385CD7" w:rsidRPr="00385CD7" w:rsidRDefault="00385CD7" w:rsidP="00385C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385CD7" w:rsidRPr="00385CD7" w:rsidRDefault="00385CD7" w:rsidP="00385C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57,5</w:t>
            </w:r>
          </w:p>
        </w:tc>
        <w:tc>
          <w:tcPr>
            <w:tcW w:w="937" w:type="dxa"/>
            <w:vAlign w:val="center"/>
          </w:tcPr>
          <w:p w:rsidR="00385CD7" w:rsidRPr="00385CD7" w:rsidRDefault="00385CD7" w:rsidP="00385C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244" w:type="dxa"/>
            <w:vAlign w:val="center"/>
          </w:tcPr>
          <w:p w:rsidR="00385CD7" w:rsidRPr="00385CD7" w:rsidRDefault="00385CD7" w:rsidP="00385C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+13,5</w:t>
            </w:r>
          </w:p>
        </w:tc>
        <w:tc>
          <w:tcPr>
            <w:tcW w:w="1532" w:type="dxa"/>
            <w:vAlign w:val="center"/>
          </w:tcPr>
          <w:p w:rsidR="00385CD7" w:rsidRPr="00385CD7" w:rsidRDefault="00385CD7" w:rsidP="00385C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85CD7" w:rsidTr="00385CD7">
        <w:tc>
          <w:tcPr>
            <w:tcW w:w="9570" w:type="dxa"/>
            <w:gridSpan w:val="7"/>
            <w:vAlign w:val="center"/>
          </w:tcPr>
          <w:p w:rsidR="00385CD7" w:rsidRPr="00385CD7" w:rsidRDefault="00385CD7" w:rsidP="00385C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D7">
              <w:rPr>
                <w:rFonts w:ascii="Times New Roman" w:hAnsi="Times New Roman"/>
                <w:sz w:val="20"/>
                <w:szCs w:val="20"/>
              </w:rPr>
              <w:lastRenderedPageBreak/>
              <w:t>ГРБ</w:t>
            </w:r>
            <w:proofErr w:type="gramStart"/>
            <w:r w:rsidRPr="00385CD7">
              <w:rPr>
                <w:rFonts w:ascii="Times New Roman" w:hAnsi="Times New Roman"/>
                <w:sz w:val="20"/>
                <w:szCs w:val="20"/>
              </w:rPr>
              <w:t>С-</w:t>
            </w:r>
            <w:proofErr w:type="gramEnd"/>
            <w:r w:rsidRPr="00385CD7">
              <w:rPr>
                <w:rFonts w:ascii="Times New Roman" w:hAnsi="Times New Roman"/>
                <w:sz w:val="20"/>
                <w:szCs w:val="20"/>
              </w:rPr>
              <w:t xml:space="preserve"> не имеющие подведомственные учреждения</w:t>
            </w:r>
          </w:p>
        </w:tc>
      </w:tr>
      <w:tr w:rsidR="00385CD7" w:rsidTr="00385CD7">
        <w:tc>
          <w:tcPr>
            <w:tcW w:w="2011" w:type="dxa"/>
          </w:tcPr>
          <w:p w:rsidR="00385CD7" w:rsidRPr="00385CD7" w:rsidRDefault="00385CD7" w:rsidP="00385CD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5CD7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«Можгинский район»</w:t>
            </w:r>
          </w:p>
        </w:tc>
        <w:tc>
          <w:tcPr>
            <w:tcW w:w="1066" w:type="dxa"/>
            <w:vAlign w:val="center"/>
          </w:tcPr>
          <w:p w:rsidR="00385CD7" w:rsidRPr="00385CD7" w:rsidRDefault="00385CD7" w:rsidP="00385C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4" w:type="dxa"/>
            <w:vMerge w:val="restart"/>
            <w:vAlign w:val="center"/>
          </w:tcPr>
          <w:p w:rsidR="00385CD7" w:rsidRPr="00385CD7" w:rsidRDefault="00385CD7" w:rsidP="00385C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30 %</w:t>
            </w:r>
          </w:p>
        </w:tc>
        <w:tc>
          <w:tcPr>
            <w:tcW w:w="1136" w:type="dxa"/>
            <w:vAlign w:val="center"/>
          </w:tcPr>
          <w:p w:rsidR="00385CD7" w:rsidRPr="00385CD7" w:rsidRDefault="00385CD7" w:rsidP="00385C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937" w:type="dxa"/>
            <w:vAlign w:val="center"/>
          </w:tcPr>
          <w:p w:rsidR="00385CD7" w:rsidRPr="00385CD7" w:rsidRDefault="00385CD7" w:rsidP="00385C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73,2</w:t>
            </w:r>
          </w:p>
        </w:tc>
        <w:tc>
          <w:tcPr>
            <w:tcW w:w="1244" w:type="dxa"/>
            <w:vAlign w:val="center"/>
          </w:tcPr>
          <w:p w:rsidR="00385CD7" w:rsidRPr="00385CD7" w:rsidRDefault="00385CD7" w:rsidP="00385C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+15,2</w:t>
            </w:r>
          </w:p>
        </w:tc>
        <w:tc>
          <w:tcPr>
            <w:tcW w:w="1532" w:type="dxa"/>
            <w:vAlign w:val="center"/>
          </w:tcPr>
          <w:p w:rsidR="00385CD7" w:rsidRPr="00385CD7" w:rsidRDefault="00385CD7" w:rsidP="00385C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385CD7" w:rsidTr="00385CD7">
        <w:tc>
          <w:tcPr>
            <w:tcW w:w="2011" w:type="dxa"/>
          </w:tcPr>
          <w:p w:rsidR="00385CD7" w:rsidRPr="00385CD7" w:rsidRDefault="00385CD7" w:rsidP="00385CD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5CD7">
              <w:rPr>
                <w:rFonts w:ascii="Times New Roman" w:hAnsi="Times New Roman"/>
                <w:sz w:val="20"/>
                <w:szCs w:val="20"/>
              </w:rPr>
              <w:t>Районный Совет депутатов муниципального образования «Можгинский район</w:t>
            </w:r>
          </w:p>
          <w:p w:rsidR="00385CD7" w:rsidRPr="00385CD7" w:rsidRDefault="00385CD7" w:rsidP="00385CD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385CD7" w:rsidRPr="00385CD7" w:rsidRDefault="00385CD7" w:rsidP="00385C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44" w:type="dxa"/>
            <w:vMerge/>
            <w:vAlign w:val="center"/>
          </w:tcPr>
          <w:p w:rsidR="00385CD7" w:rsidRPr="00385CD7" w:rsidRDefault="00385CD7" w:rsidP="00385C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385CD7" w:rsidRPr="00385CD7" w:rsidRDefault="00385CD7" w:rsidP="00385C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50,8</w:t>
            </w:r>
          </w:p>
        </w:tc>
        <w:tc>
          <w:tcPr>
            <w:tcW w:w="937" w:type="dxa"/>
            <w:vAlign w:val="center"/>
          </w:tcPr>
          <w:p w:rsidR="00385CD7" w:rsidRPr="00385CD7" w:rsidRDefault="00385CD7" w:rsidP="00385C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66,8</w:t>
            </w:r>
          </w:p>
        </w:tc>
        <w:tc>
          <w:tcPr>
            <w:tcW w:w="1244" w:type="dxa"/>
            <w:vAlign w:val="center"/>
          </w:tcPr>
          <w:p w:rsidR="00385CD7" w:rsidRPr="00385CD7" w:rsidRDefault="00385CD7" w:rsidP="00385C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+16</w:t>
            </w:r>
          </w:p>
        </w:tc>
        <w:tc>
          <w:tcPr>
            <w:tcW w:w="1532" w:type="dxa"/>
            <w:vAlign w:val="center"/>
          </w:tcPr>
          <w:p w:rsidR="00385CD7" w:rsidRPr="00385CD7" w:rsidRDefault="00385CD7" w:rsidP="00385C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85CD7" w:rsidRPr="005B7F52" w:rsidRDefault="00385CD7" w:rsidP="009609B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E32882" w:rsidRDefault="00E32882" w:rsidP="00CA23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D5162" w:rsidRPr="004C4446" w:rsidRDefault="00ED5162" w:rsidP="00CA23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48C5" w:rsidRDefault="004919CA" w:rsidP="007548C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лавы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1158AA" w:rsidRDefault="004919CA" w:rsidP="007548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финансовым вопросам-</w:t>
      </w:r>
    </w:p>
    <w:p w:rsidR="004919CA" w:rsidRDefault="004919CA" w:rsidP="007548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финансов  </w:t>
      </w:r>
      <w:r w:rsidR="007548C5">
        <w:rPr>
          <w:rFonts w:ascii="Times New Roman" w:hAnsi="Times New Roman"/>
          <w:sz w:val="24"/>
          <w:szCs w:val="24"/>
        </w:rPr>
        <w:t xml:space="preserve">                   </w:t>
      </w:r>
      <w:r w:rsidR="007548C5">
        <w:rPr>
          <w:noProof/>
        </w:rPr>
        <w:drawing>
          <wp:inline distT="0" distB="0" distL="0" distR="0" wp14:anchorId="410E1E58" wp14:editId="55AEDCC6">
            <wp:extent cx="777922" cy="361950"/>
            <wp:effectExtent l="0" t="0" r="3175" b="0"/>
            <wp:docPr id="1105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" name="Рисунок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75" t="42432" r="40714" b="51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2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7548C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/>
          <w:sz w:val="24"/>
          <w:szCs w:val="24"/>
        </w:rPr>
        <w:t>Г.Т.Мартьянова</w:t>
      </w:r>
      <w:proofErr w:type="spellEnd"/>
    </w:p>
    <w:p w:rsidR="004919CA" w:rsidRDefault="004919CA" w:rsidP="007548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19CA" w:rsidRPr="004C4446" w:rsidRDefault="004919CA" w:rsidP="007548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58AA" w:rsidRPr="004C4446" w:rsidRDefault="00FD1BCF" w:rsidP="001158AA">
      <w:pPr>
        <w:spacing w:after="0"/>
        <w:jc w:val="right"/>
        <w:rPr>
          <w:sz w:val="24"/>
          <w:szCs w:val="24"/>
        </w:rPr>
      </w:pPr>
      <w:r w:rsidRPr="004C4446">
        <w:rPr>
          <w:rFonts w:ascii="Times New Roman" w:hAnsi="Times New Roman"/>
          <w:sz w:val="24"/>
          <w:szCs w:val="24"/>
        </w:rPr>
        <w:t>20.03</w:t>
      </w:r>
      <w:r w:rsidR="001158AA" w:rsidRPr="004C4446">
        <w:rPr>
          <w:rFonts w:ascii="Times New Roman" w:hAnsi="Times New Roman"/>
          <w:sz w:val="24"/>
          <w:szCs w:val="24"/>
        </w:rPr>
        <w:t>.2015г.</w:t>
      </w:r>
    </w:p>
    <w:sectPr w:rsidR="001158AA" w:rsidRPr="004C4446" w:rsidSect="004C444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BC0"/>
    <w:multiLevelType w:val="hybridMultilevel"/>
    <w:tmpl w:val="0BC25BE8"/>
    <w:lvl w:ilvl="0" w:tplc="F294B040">
      <w:start w:val="1"/>
      <w:numFmt w:val="decimal"/>
      <w:lvlText w:val="%1-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E6296C"/>
    <w:multiLevelType w:val="hybridMultilevel"/>
    <w:tmpl w:val="0BC25BE8"/>
    <w:lvl w:ilvl="0" w:tplc="F294B040">
      <w:start w:val="1"/>
      <w:numFmt w:val="decimal"/>
      <w:lvlText w:val="%1-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205867"/>
    <w:multiLevelType w:val="hybridMultilevel"/>
    <w:tmpl w:val="0BC25BE8"/>
    <w:lvl w:ilvl="0" w:tplc="F294B040">
      <w:start w:val="1"/>
      <w:numFmt w:val="decimal"/>
      <w:lvlText w:val="%1-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C1D4538"/>
    <w:multiLevelType w:val="hybridMultilevel"/>
    <w:tmpl w:val="0BC25BE8"/>
    <w:lvl w:ilvl="0" w:tplc="F294B040">
      <w:start w:val="1"/>
      <w:numFmt w:val="decimal"/>
      <w:lvlText w:val="%1-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EE"/>
    <w:rsid w:val="000042E2"/>
    <w:rsid w:val="0001029C"/>
    <w:rsid w:val="00010993"/>
    <w:rsid w:val="00013BE3"/>
    <w:rsid w:val="00014CD2"/>
    <w:rsid w:val="00027E88"/>
    <w:rsid w:val="00031140"/>
    <w:rsid w:val="000416D4"/>
    <w:rsid w:val="00044560"/>
    <w:rsid w:val="00044C03"/>
    <w:rsid w:val="00047AF6"/>
    <w:rsid w:val="00051C2F"/>
    <w:rsid w:val="00052293"/>
    <w:rsid w:val="0005311C"/>
    <w:rsid w:val="0005422F"/>
    <w:rsid w:val="00061D46"/>
    <w:rsid w:val="00063DFA"/>
    <w:rsid w:val="00072E50"/>
    <w:rsid w:val="00074629"/>
    <w:rsid w:val="00075D99"/>
    <w:rsid w:val="0008179C"/>
    <w:rsid w:val="000A5010"/>
    <w:rsid w:val="000B32F4"/>
    <w:rsid w:val="000B7ACC"/>
    <w:rsid w:val="000C26D2"/>
    <w:rsid w:val="000C380F"/>
    <w:rsid w:val="000C49BE"/>
    <w:rsid w:val="000D1D36"/>
    <w:rsid w:val="000D615A"/>
    <w:rsid w:val="000E0C41"/>
    <w:rsid w:val="000F54E6"/>
    <w:rsid w:val="0010524B"/>
    <w:rsid w:val="001158AA"/>
    <w:rsid w:val="00117AFA"/>
    <w:rsid w:val="001270D3"/>
    <w:rsid w:val="00134B3F"/>
    <w:rsid w:val="00135EF7"/>
    <w:rsid w:val="00136778"/>
    <w:rsid w:val="00140B2A"/>
    <w:rsid w:val="001662DC"/>
    <w:rsid w:val="0016766D"/>
    <w:rsid w:val="001733A0"/>
    <w:rsid w:val="00183ACE"/>
    <w:rsid w:val="00186050"/>
    <w:rsid w:val="0019554D"/>
    <w:rsid w:val="00196D52"/>
    <w:rsid w:val="001A6026"/>
    <w:rsid w:val="001A7D18"/>
    <w:rsid w:val="001B0E2F"/>
    <w:rsid w:val="001B22FC"/>
    <w:rsid w:val="001B4F97"/>
    <w:rsid w:val="001B7C30"/>
    <w:rsid w:val="001C2B69"/>
    <w:rsid w:val="001C3A34"/>
    <w:rsid w:val="001C5C4A"/>
    <w:rsid w:val="001D0AC5"/>
    <w:rsid w:val="001E1775"/>
    <w:rsid w:val="001F2494"/>
    <w:rsid w:val="00202FA0"/>
    <w:rsid w:val="00203B14"/>
    <w:rsid w:val="00207645"/>
    <w:rsid w:val="00211A15"/>
    <w:rsid w:val="002125A8"/>
    <w:rsid w:val="00212D71"/>
    <w:rsid w:val="00220FE4"/>
    <w:rsid w:val="00221F1A"/>
    <w:rsid w:val="002226C1"/>
    <w:rsid w:val="002338B9"/>
    <w:rsid w:val="0023391A"/>
    <w:rsid w:val="00235832"/>
    <w:rsid w:val="0025091F"/>
    <w:rsid w:val="002534EA"/>
    <w:rsid w:val="00257EEC"/>
    <w:rsid w:val="00257FB4"/>
    <w:rsid w:val="0026095F"/>
    <w:rsid w:val="00264027"/>
    <w:rsid w:val="00264910"/>
    <w:rsid w:val="00265872"/>
    <w:rsid w:val="00281F0F"/>
    <w:rsid w:val="002825F7"/>
    <w:rsid w:val="00283062"/>
    <w:rsid w:val="00287C36"/>
    <w:rsid w:val="002A179B"/>
    <w:rsid w:val="002A21E7"/>
    <w:rsid w:val="002B0E9B"/>
    <w:rsid w:val="002B14A3"/>
    <w:rsid w:val="002B17A8"/>
    <w:rsid w:val="002B3A57"/>
    <w:rsid w:val="002B3BDB"/>
    <w:rsid w:val="002B4E3D"/>
    <w:rsid w:val="002C13D5"/>
    <w:rsid w:val="002C22DB"/>
    <w:rsid w:val="002C244B"/>
    <w:rsid w:val="002D6972"/>
    <w:rsid w:val="002D6FED"/>
    <w:rsid w:val="002E1657"/>
    <w:rsid w:val="002E73FC"/>
    <w:rsid w:val="002F3513"/>
    <w:rsid w:val="002F5F19"/>
    <w:rsid w:val="00316DBC"/>
    <w:rsid w:val="00320545"/>
    <w:rsid w:val="003263A5"/>
    <w:rsid w:val="00331593"/>
    <w:rsid w:val="00337423"/>
    <w:rsid w:val="00337825"/>
    <w:rsid w:val="00341438"/>
    <w:rsid w:val="00351F1D"/>
    <w:rsid w:val="0035315E"/>
    <w:rsid w:val="00356BEE"/>
    <w:rsid w:val="00360B3D"/>
    <w:rsid w:val="003611B2"/>
    <w:rsid w:val="00366207"/>
    <w:rsid w:val="003666F5"/>
    <w:rsid w:val="00385CD7"/>
    <w:rsid w:val="0039033B"/>
    <w:rsid w:val="0039501F"/>
    <w:rsid w:val="00397D51"/>
    <w:rsid w:val="003A1459"/>
    <w:rsid w:val="003A2137"/>
    <w:rsid w:val="003A2C03"/>
    <w:rsid w:val="003A5E7B"/>
    <w:rsid w:val="003A7708"/>
    <w:rsid w:val="003B3F59"/>
    <w:rsid w:val="003B655B"/>
    <w:rsid w:val="003B7924"/>
    <w:rsid w:val="003C1049"/>
    <w:rsid w:val="003C10F8"/>
    <w:rsid w:val="003C1180"/>
    <w:rsid w:val="003C6E88"/>
    <w:rsid w:val="003D2924"/>
    <w:rsid w:val="003D3D3D"/>
    <w:rsid w:val="003D7C76"/>
    <w:rsid w:val="003F31A4"/>
    <w:rsid w:val="00403A0F"/>
    <w:rsid w:val="00404026"/>
    <w:rsid w:val="00406445"/>
    <w:rsid w:val="00410F3D"/>
    <w:rsid w:val="00411742"/>
    <w:rsid w:val="00413043"/>
    <w:rsid w:val="00421CC6"/>
    <w:rsid w:val="00423387"/>
    <w:rsid w:val="00424D0D"/>
    <w:rsid w:val="00426406"/>
    <w:rsid w:val="00426A97"/>
    <w:rsid w:val="00432A31"/>
    <w:rsid w:val="0044200C"/>
    <w:rsid w:val="00451A07"/>
    <w:rsid w:val="00463991"/>
    <w:rsid w:val="0046592D"/>
    <w:rsid w:val="00477557"/>
    <w:rsid w:val="00483D0B"/>
    <w:rsid w:val="004919CA"/>
    <w:rsid w:val="004A6934"/>
    <w:rsid w:val="004C2251"/>
    <w:rsid w:val="004C4446"/>
    <w:rsid w:val="004C4A85"/>
    <w:rsid w:val="004D58FA"/>
    <w:rsid w:val="004E0395"/>
    <w:rsid w:val="004E393E"/>
    <w:rsid w:val="004F0FB6"/>
    <w:rsid w:val="004F40BB"/>
    <w:rsid w:val="004F52F6"/>
    <w:rsid w:val="004F749E"/>
    <w:rsid w:val="00503239"/>
    <w:rsid w:val="0050341E"/>
    <w:rsid w:val="00503CB7"/>
    <w:rsid w:val="00513E78"/>
    <w:rsid w:val="00514EF5"/>
    <w:rsid w:val="00517E44"/>
    <w:rsid w:val="0052281B"/>
    <w:rsid w:val="00534885"/>
    <w:rsid w:val="00536D0D"/>
    <w:rsid w:val="00543C9A"/>
    <w:rsid w:val="0056108F"/>
    <w:rsid w:val="00561E93"/>
    <w:rsid w:val="00566477"/>
    <w:rsid w:val="005834CA"/>
    <w:rsid w:val="00586F64"/>
    <w:rsid w:val="00593E69"/>
    <w:rsid w:val="00596E77"/>
    <w:rsid w:val="005A6BAA"/>
    <w:rsid w:val="005B04E9"/>
    <w:rsid w:val="005B6C3F"/>
    <w:rsid w:val="005B7F52"/>
    <w:rsid w:val="005C38E2"/>
    <w:rsid w:val="005C530F"/>
    <w:rsid w:val="005D373F"/>
    <w:rsid w:val="005D4981"/>
    <w:rsid w:val="005D4E08"/>
    <w:rsid w:val="005D5AF2"/>
    <w:rsid w:val="005D64CF"/>
    <w:rsid w:val="005E0F0E"/>
    <w:rsid w:val="005E3076"/>
    <w:rsid w:val="005E4429"/>
    <w:rsid w:val="005F0699"/>
    <w:rsid w:val="005F5762"/>
    <w:rsid w:val="005F6999"/>
    <w:rsid w:val="005F7E40"/>
    <w:rsid w:val="00602C1F"/>
    <w:rsid w:val="00607F5C"/>
    <w:rsid w:val="00616F34"/>
    <w:rsid w:val="006226BB"/>
    <w:rsid w:val="00624D7E"/>
    <w:rsid w:val="006346B7"/>
    <w:rsid w:val="006403BB"/>
    <w:rsid w:val="006414AD"/>
    <w:rsid w:val="00643B85"/>
    <w:rsid w:val="00652943"/>
    <w:rsid w:val="00654B6C"/>
    <w:rsid w:val="00655E56"/>
    <w:rsid w:val="0066086C"/>
    <w:rsid w:val="00666A4E"/>
    <w:rsid w:val="00666DDE"/>
    <w:rsid w:val="00667787"/>
    <w:rsid w:val="00677B03"/>
    <w:rsid w:val="00682A38"/>
    <w:rsid w:val="00692F1F"/>
    <w:rsid w:val="006947C5"/>
    <w:rsid w:val="006A1A48"/>
    <w:rsid w:val="006A30E8"/>
    <w:rsid w:val="006B43C0"/>
    <w:rsid w:val="006B7D37"/>
    <w:rsid w:val="006C128A"/>
    <w:rsid w:val="006C5358"/>
    <w:rsid w:val="006D3CD7"/>
    <w:rsid w:val="006E7CD6"/>
    <w:rsid w:val="006F235A"/>
    <w:rsid w:val="006F2A6B"/>
    <w:rsid w:val="006F3ACD"/>
    <w:rsid w:val="00703B26"/>
    <w:rsid w:val="00704255"/>
    <w:rsid w:val="00710DA4"/>
    <w:rsid w:val="007116DF"/>
    <w:rsid w:val="007131BC"/>
    <w:rsid w:val="00714704"/>
    <w:rsid w:val="00722DC4"/>
    <w:rsid w:val="00727877"/>
    <w:rsid w:val="0073304F"/>
    <w:rsid w:val="00741C9F"/>
    <w:rsid w:val="007430F1"/>
    <w:rsid w:val="00753710"/>
    <w:rsid w:val="007548C5"/>
    <w:rsid w:val="00766C6C"/>
    <w:rsid w:val="00774D1C"/>
    <w:rsid w:val="00777B9C"/>
    <w:rsid w:val="00782544"/>
    <w:rsid w:val="0078297B"/>
    <w:rsid w:val="007973DF"/>
    <w:rsid w:val="007A07D8"/>
    <w:rsid w:val="007B1719"/>
    <w:rsid w:val="007B2C28"/>
    <w:rsid w:val="007B3CDB"/>
    <w:rsid w:val="007D09A1"/>
    <w:rsid w:val="007D0FA2"/>
    <w:rsid w:val="007D2925"/>
    <w:rsid w:val="007D5C29"/>
    <w:rsid w:val="007D63DF"/>
    <w:rsid w:val="007D65FC"/>
    <w:rsid w:val="007E29DA"/>
    <w:rsid w:val="007E6490"/>
    <w:rsid w:val="007E78A6"/>
    <w:rsid w:val="007F12F6"/>
    <w:rsid w:val="007F1FE2"/>
    <w:rsid w:val="00800204"/>
    <w:rsid w:val="00815237"/>
    <w:rsid w:val="00815FE6"/>
    <w:rsid w:val="00822FA4"/>
    <w:rsid w:val="00824B82"/>
    <w:rsid w:val="00826213"/>
    <w:rsid w:val="008347B4"/>
    <w:rsid w:val="00837123"/>
    <w:rsid w:val="008426E8"/>
    <w:rsid w:val="00847DB3"/>
    <w:rsid w:val="00861BC1"/>
    <w:rsid w:val="00862064"/>
    <w:rsid w:val="008640C6"/>
    <w:rsid w:val="00866853"/>
    <w:rsid w:val="00871259"/>
    <w:rsid w:val="008809A9"/>
    <w:rsid w:val="00890025"/>
    <w:rsid w:val="008932E7"/>
    <w:rsid w:val="00895CAC"/>
    <w:rsid w:val="00897B8B"/>
    <w:rsid w:val="008A1776"/>
    <w:rsid w:val="008A585A"/>
    <w:rsid w:val="008B2228"/>
    <w:rsid w:val="008B764A"/>
    <w:rsid w:val="008C112D"/>
    <w:rsid w:val="008C4F06"/>
    <w:rsid w:val="008D3FFF"/>
    <w:rsid w:val="008D5ADF"/>
    <w:rsid w:val="008E3C5A"/>
    <w:rsid w:val="008E6593"/>
    <w:rsid w:val="008F5EB0"/>
    <w:rsid w:val="00901D5B"/>
    <w:rsid w:val="00905203"/>
    <w:rsid w:val="0093042D"/>
    <w:rsid w:val="00935DB9"/>
    <w:rsid w:val="00941044"/>
    <w:rsid w:val="009451CC"/>
    <w:rsid w:val="00945A4A"/>
    <w:rsid w:val="009609B0"/>
    <w:rsid w:val="00964DA9"/>
    <w:rsid w:val="00973FF9"/>
    <w:rsid w:val="00975DC6"/>
    <w:rsid w:val="0098182A"/>
    <w:rsid w:val="00981E40"/>
    <w:rsid w:val="009821F0"/>
    <w:rsid w:val="0098596B"/>
    <w:rsid w:val="009943D8"/>
    <w:rsid w:val="009A3E0A"/>
    <w:rsid w:val="009B1344"/>
    <w:rsid w:val="009B4652"/>
    <w:rsid w:val="009B6111"/>
    <w:rsid w:val="009C3589"/>
    <w:rsid w:val="009C6C9B"/>
    <w:rsid w:val="009C7E09"/>
    <w:rsid w:val="009D2303"/>
    <w:rsid w:val="009D5B87"/>
    <w:rsid w:val="009D64DC"/>
    <w:rsid w:val="009E52B4"/>
    <w:rsid w:val="009E6061"/>
    <w:rsid w:val="009F11E6"/>
    <w:rsid w:val="00A06AC7"/>
    <w:rsid w:val="00A0721A"/>
    <w:rsid w:val="00A2464F"/>
    <w:rsid w:val="00A24A0F"/>
    <w:rsid w:val="00A32C4F"/>
    <w:rsid w:val="00A37834"/>
    <w:rsid w:val="00A41D82"/>
    <w:rsid w:val="00A42411"/>
    <w:rsid w:val="00A42D09"/>
    <w:rsid w:val="00A72314"/>
    <w:rsid w:val="00A7795F"/>
    <w:rsid w:val="00A85B45"/>
    <w:rsid w:val="00A92A75"/>
    <w:rsid w:val="00AC6167"/>
    <w:rsid w:val="00AD1419"/>
    <w:rsid w:val="00AE6610"/>
    <w:rsid w:val="00AF1E55"/>
    <w:rsid w:val="00AF42F1"/>
    <w:rsid w:val="00AF796D"/>
    <w:rsid w:val="00B00A64"/>
    <w:rsid w:val="00B04700"/>
    <w:rsid w:val="00B0664A"/>
    <w:rsid w:val="00B07367"/>
    <w:rsid w:val="00B16CF6"/>
    <w:rsid w:val="00B17C92"/>
    <w:rsid w:val="00B17FEC"/>
    <w:rsid w:val="00B30593"/>
    <w:rsid w:val="00B4250F"/>
    <w:rsid w:val="00B4652B"/>
    <w:rsid w:val="00B46E15"/>
    <w:rsid w:val="00B46F43"/>
    <w:rsid w:val="00B47E48"/>
    <w:rsid w:val="00B62208"/>
    <w:rsid w:val="00B67CD5"/>
    <w:rsid w:val="00B75AE2"/>
    <w:rsid w:val="00B76BFB"/>
    <w:rsid w:val="00B80F93"/>
    <w:rsid w:val="00B8157B"/>
    <w:rsid w:val="00B85168"/>
    <w:rsid w:val="00B865CC"/>
    <w:rsid w:val="00B955DD"/>
    <w:rsid w:val="00BA01F1"/>
    <w:rsid w:val="00BA1E88"/>
    <w:rsid w:val="00BA7A94"/>
    <w:rsid w:val="00BC070B"/>
    <w:rsid w:val="00BD21DC"/>
    <w:rsid w:val="00BD556A"/>
    <w:rsid w:val="00BD71B7"/>
    <w:rsid w:val="00BD746C"/>
    <w:rsid w:val="00BE0452"/>
    <w:rsid w:val="00BE231D"/>
    <w:rsid w:val="00BF3459"/>
    <w:rsid w:val="00BF5EF4"/>
    <w:rsid w:val="00C03B38"/>
    <w:rsid w:val="00C1733F"/>
    <w:rsid w:val="00C17605"/>
    <w:rsid w:val="00C26163"/>
    <w:rsid w:val="00C30158"/>
    <w:rsid w:val="00C30ED7"/>
    <w:rsid w:val="00C350A7"/>
    <w:rsid w:val="00C37469"/>
    <w:rsid w:val="00C41E6A"/>
    <w:rsid w:val="00C60D49"/>
    <w:rsid w:val="00C61632"/>
    <w:rsid w:val="00C64599"/>
    <w:rsid w:val="00C7025D"/>
    <w:rsid w:val="00C7367B"/>
    <w:rsid w:val="00C873B2"/>
    <w:rsid w:val="00CA23C5"/>
    <w:rsid w:val="00CA5912"/>
    <w:rsid w:val="00CA5A1D"/>
    <w:rsid w:val="00CA66FD"/>
    <w:rsid w:val="00CB5A7C"/>
    <w:rsid w:val="00CB6E4B"/>
    <w:rsid w:val="00CC283C"/>
    <w:rsid w:val="00CC4573"/>
    <w:rsid w:val="00CC57F7"/>
    <w:rsid w:val="00CD00D3"/>
    <w:rsid w:val="00CD07FC"/>
    <w:rsid w:val="00CD24BE"/>
    <w:rsid w:val="00CD4529"/>
    <w:rsid w:val="00CD55DF"/>
    <w:rsid w:val="00CF3B8B"/>
    <w:rsid w:val="00CF50E1"/>
    <w:rsid w:val="00D003C6"/>
    <w:rsid w:val="00D01268"/>
    <w:rsid w:val="00D03726"/>
    <w:rsid w:val="00D06B70"/>
    <w:rsid w:val="00D13734"/>
    <w:rsid w:val="00D140F3"/>
    <w:rsid w:val="00D25889"/>
    <w:rsid w:val="00D31594"/>
    <w:rsid w:val="00D34FA2"/>
    <w:rsid w:val="00D461F8"/>
    <w:rsid w:val="00D53AB8"/>
    <w:rsid w:val="00D60AF7"/>
    <w:rsid w:val="00D66BB7"/>
    <w:rsid w:val="00D71396"/>
    <w:rsid w:val="00D75C11"/>
    <w:rsid w:val="00D84A59"/>
    <w:rsid w:val="00D905AC"/>
    <w:rsid w:val="00D92B60"/>
    <w:rsid w:val="00DB4B9A"/>
    <w:rsid w:val="00DB62C8"/>
    <w:rsid w:val="00DC3DD4"/>
    <w:rsid w:val="00DC600D"/>
    <w:rsid w:val="00DD43FC"/>
    <w:rsid w:val="00DE2D7D"/>
    <w:rsid w:val="00DF16D6"/>
    <w:rsid w:val="00DF36E2"/>
    <w:rsid w:val="00DF50BF"/>
    <w:rsid w:val="00DF6CAD"/>
    <w:rsid w:val="00DF7B0E"/>
    <w:rsid w:val="00E116A2"/>
    <w:rsid w:val="00E12D0A"/>
    <w:rsid w:val="00E17AB6"/>
    <w:rsid w:val="00E2057B"/>
    <w:rsid w:val="00E306B5"/>
    <w:rsid w:val="00E32882"/>
    <w:rsid w:val="00E36F5F"/>
    <w:rsid w:val="00E41161"/>
    <w:rsid w:val="00E4419A"/>
    <w:rsid w:val="00E44244"/>
    <w:rsid w:val="00E529BE"/>
    <w:rsid w:val="00E56CB4"/>
    <w:rsid w:val="00E732D7"/>
    <w:rsid w:val="00E822D6"/>
    <w:rsid w:val="00E82473"/>
    <w:rsid w:val="00E830FA"/>
    <w:rsid w:val="00E83FC9"/>
    <w:rsid w:val="00E8484E"/>
    <w:rsid w:val="00E85513"/>
    <w:rsid w:val="00E861E1"/>
    <w:rsid w:val="00E90C39"/>
    <w:rsid w:val="00E96ABA"/>
    <w:rsid w:val="00E9738B"/>
    <w:rsid w:val="00EA08A4"/>
    <w:rsid w:val="00EA4E80"/>
    <w:rsid w:val="00EA578C"/>
    <w:rsid w:val="00EA6B0C"/>
    <w:rsid w:val="00EB5384"/>
    <w:rsid w:val="00EC2BB4"/>
    <w:rsid w:val="00EC44F1"/>
    <w:rsid w:val="00EC632E"/>
    <w:rsid w:val="00ED0DED"/>
    <w:rsid w:val="00ED5162"/>
    <w:rsid w:val="00ED6022"/>
    <w:rsid w:val="00EE7E96"/>
    <w:rsid w:val="00EF29D9"/>
    <w:rsid w:val="00EF48F8"/>
    <w:rsid w:val="00F04504"/>
    <w:rsid w:val="00F07F99"/>
    <w:rsid w:val="00F107AD"/>
    <w:rsid w:val="00F11BE3"/>
    <w:rsid w:val="00F2008C"/>
    <w:rsid w:val="00F22F9B"/>
    <w:rsid w:val="00F2747D"/>
    <w:rsid w:val="00F3113C"/>
    <w:rsid w:val="00F3204E"/>
    <w:rsid w:val="00F3642B"/>
    <w:rsid w:val="00F3739E"/>
    <w:rsid w:val="00F43C5A"/>
    <w:rsid w:val="00F451BB"/>
    <w:rsid w:val="00F453A3"/>
    <w:rsid w:val="00F52117"/>
    <w:rsid w:val="00F6266A"/>
    <w:rsid w:val="00F70DBB"/>
    <w:rsid w:val="00F713B0"/>
    <w:rsid w:val="00F74067"/>
    <w:rsid w:val="00F82CE6"/>
    <w:rsid w:val="00F852A3"/>
    <w:rsid w:val="00F863F8"/>
    <w:rsid w:val="00F905D8"/>
    <w:rsid w:val="00F90662"/>
    <w:rsid w:val="00FA092D"/>
    <w:rsid w:val="00FA29C5"/>
    <w:rsid w:val="00FB43EF"/>
    <w:rsid w:val="00FC1ABA"/>
    <w:rsid w:val="00FC24E7"/>
    <w:rsid w:val="00FC5843"/>
    <w:rsid w:val="00FD1BCF"/>
    <w:rsid w:val="00FD4C7E"/>
    <w:rsid w:val="00FE08BB"/>
    <w:rsid w:val="00F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8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4629"/>
    <w:pPr>
      <w:ind w:left="720"/>
      <w:contextualSpacing/>
    </w:pPr>
  </w:style>
  <w:style w:type="paragraph" w:customStyle="1" w:styleId="2">
    <w:name w:val="Знак Знак2 Знак Знак Знак Знак Знак Знак Знак Знак Знак Знак"/>
    <w:basedOn w:val="a"/>
    <w:rsid w:val="004F52F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6">
    <w:name w:val="Table Grid"/>
    <w:basedOn w:val="a1"/>
    <w:uiPriority w:val="59"/>
    <w:rsid w:val="00385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8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4629"/>
    <w:pPr>
      <w:ind w:left="720"/>
      <w:contextualSpacing/>
    </w:pPr>
  </w:style>
  <w:style w:type="paragraph" w:customStyle="1" w:styleId="2">
    <w:name w:val="Знак Знак2 Знак Знак Знак Знак Знак Знак Знак Знак Знак Знак"/>
    <w:basedOn w:val="a"/>
    <w:rsid w:val="004F52F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6">
    <w:name w:val="Table Grid"/>
    <w:basedOn w:val="a1"/>
    <w:uiPriority w:val="59"/>
    <w:rsid w:val="00385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1527C-6527-4767-80C5-27C1497A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6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Можгинского  рай</Company>
  <LinksUpToDate>false</LinksUpToDate>
  <CharactersWithSpaces>14949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Sveta_Z</dc:creator>
  <cp:keywords/>
  <dc:description/>
  <cp:lastModifiedBy>Elena_Zv</cp:lastModifiedBy>
  <cp:revision>87</cp:revision>
  <cp:lastPrinted>2015-03-23T08:00:00Z</cp:lastPrinted>
  <dcterms:created xsi:type="dcterms:W3CDTF">2013-05-06T07:51:00Z</dcterms:created>
  <dcterms:modified xsi:type="dcterms:W3CDTF">2015-03-27T04:41:00Z</dcterms:modified>
</cp:coreProperties>
</file>